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header79.xml" ContentType="application/vnd.openxmlformats-officedocument.wordprocessingml.header+xml"/>
  <Override PartName="/word/header80.xml" ContentType="application/vnd.openxmlformats-officedocument.wordprocessingml.header+xml"/>
  <Override PartName="/word/footer79.xml" ContentType="application/vnd.openxmlformats-officedocument.wordprocessingml.footer+xml"/>
  <Override PartName="/word/footer80.xml" ContentType="application/vnd.openxmlformats-officedocument.wordprocessingml.footer+xml"/>
  <Override PartName="/word/header81.xml" ContentType="application/vnd.openxmlformats-officedocument.wordprocessingml.header+xml"/>
  <Override PartName="/word/footer81.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84.xml" ContentType="application/vnd.openxmlformats-officedocument.wordprocessingml.header+xml"/>
  <Override PartName="/word/footer84.xml" ContentType="application/vnd.openxmlformats-officedocument.wordprocessingml.footer+xml"/>
  <Override PartName="/word/header85.xml" ContentType="application/vnd.openxmlformats-officedocument.wordprocessingml.header+xml"/>
  <Override PartName="/word/header86.xml" ContentType="application/vnd.openxmlformats-officedocument.wordprocessingml.header+xml"/>
  <Override PartName="/word/footer85.xml" ContentType="application/vnd.openxmlformats-officedocument.wordprocessingml.footer+xml"/>
  <Override PartName="/word/footer86.xml" ContentType="application/vnd.openxmlformats-officedocument.wordprocessingml.footer+xml"/>
  <Override PartName="/word/header87.xml" ContentType="application/vnd.openxmlformats-officedocument.wordprocessingml.header+xml"/>
  <Override PartName="/word/footer87.xml" ContentType="application/vnd.openxmlformats-officedocument.wordprocessingml.footer+xml"/>
  <Override PartName="/word/header88.xml" ContentType="application/vnd.openxmlformats-officedocument.wordprocessingml.header+xml"/>
  <Override PartName="/word/header89.xml" ContentType="application/vnd.openxmlformats-officedocument.wordprocessingml.header+xml"/>
  <Override PartName="/word/footer88.xml" ContentType="application/vnd.openxmlformats-officedocument.wordprocessingml.footer+xml"/>
  <Override PartName="/word/footer89.xml" ContentType="application/vnd.openxmlformats-officedocument.wordprocessingml.footer+xml"/>
  <Override PartName="/word/header90.xml" ContentType="application/vnd.openxmlformats-officedocument.wordprocessingml.header+xml"/>
  <Override PartName="/word/footer90.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footer91.xml" ContentType="application/vnd.openxmlformats-officedocument.wordprocessingml.footer+xml"/>
  <Override PartName="/word/footer92.xml" ContentType="application/vnd.openxmlformats-officedocument.wordprocessingml.footer+xml"/>
  <Override PartName="/word/header93.xml" ContentType="application/vnd.openxmlformats-officedocument.wordprocessingml.header+xml"/>
  <Override PartName="/word/footer93.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footer94.xml" ContentType="application/vnd.openxmlformats-officedocument.wordprocessingml.footer+xml"/>
  <Override PartName="/word/footer95.xml" ContentType="application/vnd.openxmlformats-officedocument.wordprocessingml.footer+xml"/>
  <Override PartName="/word/header96.xml" ContentType="application/vnd.openxmlformats-officedocument.wordprocessingml.header+xml"/>
  <Override PartName="/word/footer96.xml" ContentType="application/vnd.openxmlformats-officedocument.wordprocessingml.footer+xml"/>
  <Override PartName="/word/header97.xml" ContentType="application/vnd.openxmlformats-officedocument.wordprocessingml.header+xml"/>
  <Override PartName="/word/header98.xml" ContentType="application/vnd.openxmlformats-officedocument.wordprocessingml.header+xml"/>
  <Override PartName="/word/footer97.xml" ContentType="application/vnd.openxmlformats-officedocument.wordprocessingml.footer+xml"/>
  <Override PartName="/word/footer98.xml" ContentType="application/vnd.openxmlformats-officedocument.wordprocessingml.footer+xml"/>
  <Override PartName="/word/header99.xml" ContentType="application/vnd.openxmlformats-officedocument.wordprocessingml.header+xml"/>
  <Override PartName="/word/footer99.xml" ContentType="application/vnd.openxmlformats-officedocument.wordprocessingml.footer+xml"/>
  <Override PartName="/word/header100.xml" ContentType="application/vnd.openxmlformats-officedocument.wordprocessingml.header+xml"/>
  <Override PartName="/word/header101.xml" ContentType="application/vnd.openxmlformats-officedocument.wordprocessingml.header+xml"/>
  <Override PartName="/word/footer100.xml" ContentType="application/vnd.openxmlformats-officedocument.wordprocessingml.footer+xml"/>
  <Override PartName="/word/footer101.xml" ContentType="application/vnd.openxmlformats-officedocument.wordprocessingml.footer+xml"/>
  <Override PartName="/word/header102.xml" ContentType="application/vnd.openxmlformats-officedocument.wordprocessingml.header+xml"/>
  <Override PartName="/word/footer102.xml" ContentType="application/vnd.openxmlformats-officedocument.wordprocessingml.footer+xml"/>
  <Override PartName="/word/header103.xml" ContentType="application/vnd.openxmlformats-officedocument.wordprocessingml.header+xml"/>
  <Override PartName="/word/header104.xml" ContentType="application/vnd.openxmlformats-officedocument.wordprocessingml.header+xml"/>
  <Override PartName="/word/footer103.xml" ContentType="application/vnd.openxmlformats-officedocument.wordprocessingml.footer+xml"/>
  <Override PartName="/word/footer104.xml" ContentType="application/vnd.openxmlformats-officedocument.wordprocessingml.footer+xml"/>
  <Override PartName="/word/header105.xml" ContentType="application/vnd.openxmlformats-officedocument.wordprocessingml.header+xml"/>
  <Override PartName="/word/footer105.xml" ContentType="application/vnd.openxmlformats-officedocument.wordprocessingml.footer+xml"/>
  <Override PartName="/word/header106.xml" ContentType="application/vnd.openxmlformats-officedocument.wordprocessingml.header+xml"/>
  <Override PartName="/word/header107.xml" ContentType="application/vnd.openxmlformats-officedocument.wordprocessingml.header+xml"/>
  <Override PartName="/word/footer106.xml" ContentType="application/vnd.openxmlformats-officedocument.wordprocessingml.footer+xml"/>
  <Override PartName="/word/footer107.xml" ContentType="application/vnd.openxmlformats-officedocument.wordprocessingml.footer+xml"/>
  <Override PartName="/word/header108.xml" ContentType="application/vnd.openxmlformats-officedocument.wordprocessingml.header+xml"/>
  <Override PartName="/word/footer108.xml" ContentType="application/vnd.openxmlformats-officedocument.wordprocessingml.footer+xml"/>
  <Override PartName="/word/header109.xml" ContentType="application/vnd.openxmlformats-officedocument.wordprocessingml.header+xml"/>
  <Override PartName="/word/header110.xml" ContentType="application/vnd.openxmlformats-officedocument.wordprocessingml.header+xml"/>
  <Override PartName="/word/footer109.xml" ContentType="application/vnd.openxmlformats-officedocument.wordprocessingml.footer+xml"/>
  <Override PartName="/word/footer110.xml" ContentType="application/vnd.openxmlformats-officedocument.wordprocessingml.footer+xml"/>
  <Override PartName="/word/header111.xml" ContentType="application/vnd.openxmlformats-officedocument.wordprocessingml.header+xml"/>
  <Override PartName="/word/footer111.xml" ContentType="application/vnd.openxmlformats-officedocument.wordprocessingml.footer+xml"/>
  <Override PartName="/word/header112.xml" ContentType="application/vnd.openxmlformats-officedocument.wordprocessingml.header+xml"/>
  <Override PartName="/word/header113.xml" ContentType="application/vnd.openxmlformats-officedocument.wordprocessingml.header+xml"/>
  <Override PartName="/word/footer112.xml" ContentType="application/vnd.openxmlformats-officedocument.wordprocessingml.footer+xml"/>
  <Override PartName="/word/footer113.xml" ContentType="application/vnd.openxmlformats-officedocument.wordprocessingml.footer+xml"/>
  <Override PartName="/word/header114.xml" ContentType="application/vnd.openxmlformats-officedocument.wordprocessingml.header+xml"/>
  <Override PartName="/word/footer114.xml" ContentType="application/vnd.openxmlformats-officedocument.wordprocessingml.footer+xml"/>
  <Override PartName="/word/header115.xml" ContentType="application/vnd.openxmlformats-officedocument.wordprocessingml.header+xml"/>
  <Override PartName="/word/header116.xml" ContentType="application/vnd.openxmlformats-officedocument.wordprocessingml.header+xml"/>
  <Override PartName="/word/footer115.xml" ContentType="application/vnd.openxmlformats-officedocument.wordprocessingml.footer+xml"/>
  <Override PartName="/word/footer116.xml" ContentType="application/vnd.openxmlformats-officedocument.wordprocessingml.footer+xml"/>
  <Override PartName="/word/header117.xml" ContentType="application/vnd.openxmlformats-officedocument.wordprocessingml.header+xml"/>
  <Override PartName="/word/footer117.xml" ContentType="application/vnd.openxmlformats-officedocument.wordprocessingml.footer+xml"/>
  <Override PartName="/word/header118.xml" ContentType="application/vnd.openxmlformats-officedocument.wordprocessingml.header+xml"/>
  <Override PartName="/word/header119.xml" ContentType="application/vnd.openxmlformats-officedocument.wordprocessingml.header+xml"/>
  <Override PartName="/word/footer118.xml" ContentType="application/vnd.openxmlformats-officedocument.wordprocessingml.footer+xml"/>
  <Override PartName="/word/footer119.xml" ContentType="application/vnd.openxmlformats-officedocument.wordprocessingml.footer+xml"/>
  <Override PartName="/word/header120.xml" ContentType="application/vnd.openxmlformats-officedocument.wordprocessingml.header+xml"/>
  <Override PartName="/word/footer120.xml" ContentType="application/vnd.openxmlformats-officedocument.wordprocessingml.footer+xml"/>
  <Override PartName="/word/header121.xml" ContentType="application/vnd.openxmlformats-officedocument.wordprocessingml.header+xml"/>
  <Override PartName="/word/header122.xml" ContentType="application/vnd.openxmlformats-officedocument.wordprocessingml.header+xml"/>
  <Override PartName="/word/footer121.xml" ContentType="application/vnd.openxmlformats-officedocument.wordprocessingml.footer+xml"/>
  <Override PartName="/word/footer122.xml" ContentType="application/vnd.openxmlformats-officedocument.wordprocessingml.footer+xml"/>
  <Override PartName="/word/header123.xml" ContentType="application/vnd.openxmlformats-officedocument.wordprocessingml.header+xml"/>
  <Override PartName="/word/footer123.xml" ContentType="application/vnd.openxmlformats-officedocument.wordprocessingml.footer+xml"/>
  <Override PartName="/word/header124.xml" ContentType="application/vnd.openxmlformats-officedocument.wordprocessingml.header+xml"/>
  <Override PartName="/word/header125.xml" ContentType="application/vnd.openxmlformats-officedocument.wordprocessingml.header+xml"/>
  <Override PartName="/word/footer124.xml" ContentType="application/vnd.openxmlformats-officedocument.wordprocessingml.footer+xml"/>
  <Override PartName="/word/footer125.xml" ContentType="application/vnd.openxmlformats-officedocument.wordprocessingml.footer+xml"/>
  <Override PartName="/word/header126.xml" ContentType="application/vnd.openxmlformats-officedocument.wordprocessingml.header+xml"/>
  <Override PartName="/word/footer126.xml" ContentType="application/vnd.openxmlformats-officedocument.wordprocessingml.footer+xml"/>
  <Override PartName="/word/header127.xml" ContentType="application/vnd.openxmlformats-officedocument.wordprocessingml.header+xml"/>
  <Override PartName="/word/header128.xml" ContentType="application/vnd.openxmlformats-officedocument.wordprocessingml.header+xml"/>
  <Override PartName="/word/footer127.xml" ContentType="application/vnd.openxmlformats-officedocument.wordprocessingml.footer+xml"/>
  <Override PartName="/word/footer128.xml" ContentType="application/vnd.openxmlformats-officedocument.wordprocessingml.footer+xml"/>
  <Override PartName="/word/header129.xml" ContentType="application/vnd.openxmlformats-officedocument.wordprocessingml.header+xml"/>
  <Override PartName="/word/footer129.xml" ContentType="application/vnd.openxmlformats-officedocument.wordprocessingml.footer+xml"/>
  <Override PartName="/word/header130.xml" ContentType="application/vnd.openxmlformats-officedocument.wordprocessingml.header+xml"/>
  <Override PartName="/word/header131.xml" ContentType="application/vnd.openxmlformats-officedocument.wordprocessingml.header+xml"/>
  <Override PartName="/word/footer130.xml" ContentType="application/vnd.openxmlformats-officedocument.wordprocessingml.footer+xml"/>
  <Override PartName="/word/footer131.xml" ContentType="application/vnd.openxmlformats-officedocument.wordprocessingml.footer+xml"/>
  <Override PartName="/word/header132.xml" ContentType="application/vnd.openxmlformats-officedocument.wordprocessingml.header+xml"/>
  <Override PartName="/word/footer132.xml" ContentType="application/vnd.openxmlformats-officedocument.wordprocessingml.footer+xml"/>
  <Override PartName="/word/header133.xml" ContentType="application/vnd.openxmlformats-officedocument.wordprocessingml.header+xml"/>
  <Override PartName="/word/header134.xml" ContentType="application/vnd.openxmlformats-officedocument.wordprocessingml.header+xml"/>
  <Override PartName="/word/footer133.xml" ContentType="application/vnd.openxmlformats-officedocument.wordprocessingml.footer+xml"/>
  <Override PartName="/word/footer134.xml" ContentType="application/vnd.openxmlformats-officedocument.wordprocessingml.footer+xml"/>
  <Override PartName="/word/header135.xml" ContentType="application/vnd.openxmlformats-officedocument.wordprocessingml.header+xml"/>
  <Override PartName="/word/footer1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6EB4" w:rsidRDefault="007A6EB4">
      <w:pPr>
        <w:sectPr w:rsidR="007A6EB4">
          <w:headerReference w:type="even" r:id="rId6"/>
          <w:headerReference w:type="default" r:id="rId7"/>
          <w:footerReference w:type="even" r:id="rId8"/>
          <w:footerReference w:type="default" r:id="rId9"/>
          <w:headerReference w:type="first" r:id="rId10"/>
          <w:footerReference w:type="first" r:id="rId11"/>
          <w:pgSz w:w="12240" w:h="15840"/>
          <w:pgMar w:top="840" w:right="1000" w:bottom="840" w:left="1000" w:header="400" w:footer="400" w:gutter="0"/>
          <w:cols w:space="720"/>
          <w:titlePg/>
        </w:sectPr>
      </w:pPr>
      <w:bookmarkStart w:id="0" w:name="_GoBack"/>
      <w:bookmarkEnd w:id="0"/>
    </w:p>
    <w:p w:rsidR="007A6EB4" w:rsidRDefault="007A6EB4">
      <w:bookmarkStart w:id="1" w:name="Bookmark_1"/>
      <w:bookmarkEnd w:id="1"/>
    </w:p>
    <w:p w:rsidR="007A6EB4" w:rsidRDefault="006F3363">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Summary</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26" style="position:absolute;z-index:25165824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Summary</w:t>
      </w:r>
    </w:p>
    <w:p w:rsidR="007A6EB4" w:rsidRDefault="006F3363">
      <w:pPr>
        <w:spacing w:line="60" w:lineRule="exact"/>
      </w:pPr>
      <w:r>
        <w:pict>
          <v:line id="_x0000_s1027" style="position:absolute;z-index:25170432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b/>
          <w:color w:val="000000"/>
        </w:rPr>
        <w:t>Scope</w:t>
      </w:r>
    </w:p>
    <w:p w:rsidR="007A6EB4" w:rsidRDefault="006F3363">
      <w:pPr>
        <w:spacing w:before="200" w:line="300" w:lineRule="atLeast"/>
        <w:jc w:val="both"/>
      </w:pPr>
      <w:r>
        <w:rPr>
          <w:rFonts w:ascii="Arial" w:eastAsia="Arial" w:hAnsi="Arial" w:cs="Arial"/>
          <w:color w:val="000000"/>
        </w:rPr>
        <w:t xml:space="preserve">This article </w:t>
      </w:r>
      <w:r>
        <w:rPr>
          <w:rFonts w:ascii="Arial" w:eastAsia="Arial" w:hAnsi="Arial" w:cs="Arial"/>
          <w:color w:val="000000"/>
        </w:rPr>
        <w:t>discusses the constitutional, statutory, and nonstatutory law of Florida with respect to discrimination on the basis of race, color, national origin, religion, sex, sexual preference, physical disability, and age with emphasis on the areas of employment, p</w:t>
      </w:r>
      <w:r>
        <w:rPr>
          <w:rFonts w:ascii="Arial" w:eastAsia="Arial" w:hAnsi="Arial" w:cs="Arial"/>
          <w:color w:val="000000"/>
        </w:rPr>
        <w:t>ublic accommodations, public facilities, housing and ownership of property, and governmental services.</w:t>
      </w:r>
    </w:p>
    <w:p w:rsidR="007A6EB4" w:rsidRDefault="006F3363">
      <w:pPr>
        <w:spacing w:before="200" w:line="300" w:lineRule="atLeast"/>
        <w:jc w:val="both"/>
      </w:pPr>
      <w:r>
        <w:rPr>
          <w:rFonts w:ascii="Arial" w:eastAsia="Arial" w:hAnsi="Arial" w:cs="Arial"/>
          <w:b/>
          <w:color w:val="000000"/>
        </w:rPr>
        <w:t>Federal Aspects</w:t>
      </w:r>
    </w:p>
    <w:p w:rsidR="007A6EB4" w:rsidRDefault="006F3363">
      <w:pPr>
        <w:spacing w:before="200" w:line="300" w:lineRule="atLeast"/>
        <w:jc w:val="both"/>
      </w:pPr>
      <w:r>
        <w:rPr>
          <w:rFonts w:ascii="Arial" w:eastAsia="Arial" w:hAnsi="Arial" w:cs="Arial"/>
          <w:color w:val="000000"/>
        </w:rPr>
        <w:t>The discussion of civil rights cross-references federal constitutional and statutory guaranties against those facets of discrimination in</w:t>
      </w:r>
      <w:r>
        <w:rPr>
          <w:rFonts w:ascii="Arial" w:eastAsia="Arial" w:hAnsi="Arial" w:cs="Arial"/>
          <w:color w:val="000000"/>
        </w:rPr>
        <w:t>cluded within the scope of this article.</w:t>
      </w:r>
    </w:p>
    <w:p w:rsidR="007A6EB4" w:rsidRDefault="006F3363">
      <w:pPr>
        <w:spacing w:before="200" w:line="300" w:lineRule="atLeast"/>
        <w:jc w:val="both"/>
      </w:pPr>
      <w:r>
        <w:rPr>
          <w:rFonts w:ascii="Arial" w:eastAsia="Arial" w:hAnsi="Arial" w:cs="Arial"/>
          <w:b/>
          <w:color w:val="000000"/>
        </w:rPr>
        <w:t>Treated Elsewhere</w:t>
      </w:r>
    </w:p>
    <w:p w:rsidR="007A6EB4" w:rsidRDefault="006F3363">
      <w:pPr>
        <w:spacing w:before="200" w:line="300" w:lineRule="atLeast"/>
        <w:jc w:val="both"/>
      </w:pPr>
      <w:r>
        <w:rPr>
          <w:rFonts w:ascii="Arial" w:eastAsia="Arial" w:hAnsi="Arial" w:cs="Arial"/>
          <w:color w:val="000000"/>
        </w:rPr>
        <w:t>Access to buildings for persons with physical handicaps, see Fla. Jur. 2d, Building, Zoning, and Land Controls §§ 1 et seq.</w:t>
      </w:r>
    </w:p>
    <w:p w:rsidR="007A6EB4" w:rsidRDefault="006F3363">
      <w:pPr>
        <w:spacing w:before="200" w:line="300" w:lineRule="atLeast"/>
        <w:jc w:val="both"/>
      </w:pPr>
      <w:r>
        <w:rPr>
          <w:rFonts w:ascii="Arial" w:eastAsia="Arial" w:hAnsi="Arial" w:cs="Arial"/>
          <w:color w:val="000000"/>
        </w:rPr>
        <w:t>Advertising discriminating against persons because of religious belief, s</w:t>
      </w:r>
      <w:r>
        <w:rPr>
          <w:rFonts w:ascii="Arial" w:eastAsia="Arial" w:hAnsi="Arial" w:cs="Arial"/>
          <w:color w:val="000000"/>
        </w:rPr>
        <w:t>ee Fla. Jur. 2d, Advertising §§ 1 et seq.</w:t>
      </w:r>
    </w:p>
    <w:p w:rsidR="007A6EB4" w:rsidRDefault="006F3363">
      <w:pPr>
        <w:spacing w:before="200" w:line="300" w:lineRule="atLeast"/>
        <w:jc w:val="both"/>
      </w:pPr>
      <w:r>
        <w:rPr>
          <w:rFonts w:ascii="Arial" w:eastAsia="Arial" w:hAnsi="Arial" w:cs="Arial"/>
          <w:color w:val="000000"/>
        </w:rPr>
        <w:t>Aid to the blind, elderly, and disabled, see Fla. Jur. 2d, Welfare §§ 1 et seq.</w:t>
      </w:r>
    </w:p>
    <w:p w:rsidR="007A6EB4" w:rsidRDefault="006F3363">
      <w:pPr>
        <w:spacing w:before="200" w:line="300" w:lineRule="atLeast"/>
        <w:jc w:val="both"/>
      </w:pPr>
      <w:r>
        <w:rPr>
          <w:rFonts w:ascii="Arial" w:eastAsia="Arial" w:hAnsi="Arial" w:cs="Arial"/>
          <w:color w:val="000000"/>
        </w:rPr>
        <w:t>Amusements, discrimination in admittance of persons to, see Fla. Jur. 2d, Amusements and Exhibitions §§ 1 et seq.</w:t>
      </w:r>
    </w:p>
    <w:p w:rsidR="007A6EB4" w:rsidRDefault="006F3363">
      <w:pPr>
        <w:spacing w:before="200" w:line="300" w:lineRule="atLeast"/>
        <w:jc w:val="both"/>
      </w:pPr>
      <w:r>
        <w:rPr>
          <w:rFonts w:ascii="Arial" w:eastAsia="Arial" w:hAnsi="Arial" w:cs="Arial"/>
          <w:color w:val="000000"/>
        </w:rPr>
        <w:t>Carriers, discrimina</w:t>
      </w:r>
      <w:r>
        <w:rPr>
          <w:rFonts w:ascii="Arial" w:eastAsia="Arial" w:hAnsi="Arial" w:cs="Arial"/>
          <w:color w:val="000000"/>
        </w:rPr>
        <w:t>tion by prohibited, see Fla. Jur. 2d, Carriers §§ 1 et seq.</w:t>
      </w:r>
    </w:p>
    <w:p w:rsidR="007A6EB4" w:rsidRDefault="006F3363">
      <w:pPr>
        <w:spacing w:before="200" w:line="300" w:lineRule="atLeast"/>
        <w:jc w:val="both"/>
      </w:pPr>
      <w:r>
        <w:rPr>
          <w:rFonts w:ascii="Arial" w:eastAsia="Arial" w:hAnsi="Arial" w:cs="Arial"/>
          <w:color w:val="000000"/>
        </w:rPr>
        <w:t>Cemeteries, discrimination by because of race or color prohibited, see Fla. Jur. 2d, Cemeteries and Dead Bodies §§ 1 et seq.</w:t>
      </w:r>
    </w:p>
    <w:p w:rsidR="007A6EB4" w:rsidRDefault="006F3363">
      <w:pPr>
        <w:spacing w:before="200" w:line="300" w:lineRule="atLeast"/>
        <w:jc w:val="both"/>
      </w:pPr>
      <w:r>
        <w:rPr>
          <w:rFonts w:ascii="Arial" w:eastAsia="Arial" w:hAnsi="Arial" w:cs="Arial"/>
          <w:color w:val="000000"/>
        </w:rPr>
        <w:lastRenderedPageBreak/>
        <w:t xml:space="preserve">Civil service, discrimination on certain ground against members </w:t>
      </w:r>
      <w:r>
        <w:rPr>
          <w:rFonts w:ascii="Arial" w:eastAsia="Arial" w:hAnsi="Arial" w:cs="Arial"/>
          <w:color w:val="000000"/>
        </w:rPr>
        <w:t>prohibited, see Fla. Jur. 2d, Civil Servants and Other Public Officers and Employees §§ 1 et seq.</w:t>
      </w:r>
    </w:p>
    <w:p w:rsidR="007A6EB4" w:rsidRDefault="006F3363">
      <w:pPr>
        <w:spacing w:before="200" w:line="300" w:lineRule="atLeast"/>
        <w:jc w:val="both"/>
      </w:pPr>
      <w:r>
        <w:rPr>
          <w:rFonts w:ascii="Arial" w:eastAsia="Arial" w:hAnsi="Arial" w:cs="Arial"/>
          <w:color w:val="000000"/>
        </w:rPr>
        <w:t>Discrimination by public agencies, limited exemption of complaints against from disclosure, see Fla. Jur. 2d, Records and Recording Acts §§ 1 et seq.</w:t>
      </w:r>
    </w:p>
    <w:p w:rsidR="007A6EB4" w:rsidRDefault="006F3363">
      <w:pPr>
        <w:spacing w:before="200" w:line="300" w:lineRule="atLeast"/>
        <w:jc w:val="both"/>
      </w:pPr>
      <w:r>
        <w:rPr>
          <w:rFonts w:ascii="Arial" w:eastAsia="Arial" w:hAnsi="Arial" w:cs="Arial"/>
          <w:color w:val="000000"/>
        </w:rPr>
        <w:t>Discrimi</w:t>
      </w:r>
      <w:r>
        <w:rPr>
          <w:rFonts w:ascii="Arial" w:eastAsia="Arial" w:hAnsi="Arial" w:cs="Arial"/>
          <w:color w:val="000000"/>
        </w:rPr>
        <w:t>nation in public education, see Fla. Jur. 2d, Schools, Universities, and Colleges §§ 1 et seq.</w:t>
      </w:r>
    </w:p>
    <w:p w:rsidR="007A6EB4" w:rsidRDefault="006F3363">
      <w:pPr>
        <w:spacing w:before="200" w:line="300" w:lineRule="atLeast"/>
        <w:jc w:val="both"/>
      </w:pPr>
      <w:r>
        <w:rPr>
          <w:rFonts w:ascii="Arial" w:eastAsia="Arial" w:hAnsi="Arial" w:cs="Arial"/>
          <w:color w:val="000000"/>
        </w:rPr>
        <w:t>Discrimination in selection of jurors, see Fla. Jur. 2d, Juries §§ 1 et seq.</w:t>
      </w:r>
    </w:p>
    <w:p w:rsidR="007A6EB4" w:rsidRDefault="006F3363">
      <w:pPr>
        <w:spacing w:before="200" w:line="300" w:lineRule="atLeast"/>
        <w:jc w:val="both"/>
      </w:pPr>
      <w:r>
        <w:rPr>
          <w:rFonts w:ascii="Arial" w:eastAsia="Arial" w:hAnsi="Arial" w:cs="Arial"/>
          <w:color w:val="000000"/>
        </w:rPr>
        <w:t>Discrimination in state-administered retirement system plans, see Fla. Jur. 2d, Pens</w:t>
      </w:r>
      <w:r>
        <w:rPr>
          <w:rFonts w:ascii="Arial" w:eastAsia="Arial" w:hAnsi="Arial" w:cs="Arial"/>
          <w:color w:val="000000"/>
        </w:rPr>
        <w:t>ions and Retirement Funds §§ 1 et seq.</w:t>
      </w:r>
    </w:p>
    <w:p w:rsidR="007A6EB4" w:rsidRDefault="006F3363">
      <w:pPr>
        <w:spacing w:before="200" w:line="300" w:lineRule="atLeast"/>
        <w:jc w:val="both"/>
      </w:pPr>
      <w:r>
        <w:rPr>
          <w:rFonts w:ascii="Arial" w:eastAsia="Arial" w:hAnsi="Arial" w:cs="Arial"/>
          <w:color w:val="000000"/>
        </w:rPr>
        <w:t>Discrimination in the loaning of money or granting of credit, see Fla. Jur. 2d, Consumer and Borrower Protection §§ 1 et seq.</w:t>
      </w:r>
    </w:p>
    <w:p w:rsidR="007A6EB4" w:rsidRDefault="006F3363">
      <w:pPr>
        <w:spacing w:before="200" w:line="300" w:lineRule="atLeast"/>
        <w:jc w:val="both"/>
      </w:pPr>
      <w:r>
        <w:rPr>
          <w:rFonts w:ascii="Arial" w:eastAsia="Arial" w:hAnsi="Arial" w:cs="Arial"/>
          <w:color w:val="000000"/>
        </w:rPr>
        <w:t>Employment discrimination, statute of limitations applicable to, see Fla. Jur. 2d, Limitati</w:t>
      </w:r>
      <w:r>
        <w:rPr>
          <w:rFonts w:ascii="Arial" w:eastAsia="Arial" w:hAnsi="Arial" w:cs="Arial"/>
          <w:color w:val="000000"/>
        </w:rPr>
        <w:t>ons and Laches §§ 1 et seq.</w:t>
      </w:r>
    </w:p>
    <w:p w:rsidR="007A6EB4" w:rsidRDefault="006F3363">
      <w:pPr>
        <w:spacing w:before="200" w:line="300" w:lineRule="atLeast"/>
        <w:jc w:val="both"/>
      </w:pPr>
      <w:r>
        <w:rPr>
          <w:rFonts w:ascii="Arial" w:eastAsia="Arial" w:hAnsi="Arial" w:cs="Arial"/>
          <w:color w:val="000000"/>
        </w:rPr>
        <w:t>Habitual offender, racial discrimination in determining defendant as, see Fla. Jur. 2d, Criminal Law -- Procedure §§ 1 et seq.</w:t>
      </w:r>
    </w:p>
    <w:p w:rsidR="007A6EB4" w:rsidRDefault="006F3363">
      <w:pPr>
        <w:spacing w:before="200" w:line="300" w:lineRule="atLeast"/>
        <w:jc w:val="both"/>
      </w:pPr>
      <w:r>
        <w:rPr>
          <w:rFonts w:ascii="Arial" w:eastAsia="Arial" w:hAnsi="Arial" w:cs="Arial"/>
          <w:color w:val="000000"/>
        </w:rPr>
        <w:t>Health insurance, discrimination in providing, see Fla. Jur. 2d, Insurance §§ 1 et seq.</w:t>
      </w:r>
    </w:p>
    <w:p w:rsidR="007A6EB4" w:rsidRDefault="006F3363">
      <w:pPr>
        <w:spacing w:before="200" w:line="300" w:lineRule="atLeast"/>
        <w:jc w:val="both"/>
      </w:pPr>
      <w:r>
        <w:rPr>
          <w:rFonts w:ascii="Arial" w:eastAsia="Arial" w:hAnsi="Arial" w:cs="Arial"/>
          <w:color w:val="000000"/>
        </w:rPr>
        <w:t>Incompetent p</w:t>
      </w:r>
      <w:r>
        <w:rPr>
          <w:rFonts w:ascii="Arial" w:eastAsia="Arial" w:hAnsi="Arial" w:cs="Arial"/>
          <w:color w:val="000000"/>
        </w:rPr>
        <w:t>ersons, freedom for discrimination because of status as, see Fla. Jur. 2d, Incompetent and Incapacitated Persons §§ 1 et seq.</w:t>
      </w:r>
    </w:p>
    <w:p w:rsidR="007A6EB4" w:rsidRDefault="006F3363">
      <w:pPr>
        <w:spacing w:before="200" w:line="300" w:lineRule="atLeast"/>
        <w:jc w:val="both"/>
      </w:pPr>
      <w:r>
        <w:rPr>
          <w:rFonts w:ascii="Arial" w:eastAsia="Arial" w:hAnsi="Arial" w:cs="Arial"/>
          <w:color w:val="000000"/>
        </w:rPr>
        <w:t>Jurors, discrimination in selection prohibited, see Fla. Jur. 2d, Juries §§ 1 et seq.</w:t>
      </w:r>
    </w:p>
    <w:p w:rsidR="007A6EB4" w:rsidRDefault="006F3363">
      <w:pPr>
        <w:spacing w:before="200" w:line="300" w:lineRule="atLeast"/>
        <w:jc w:val="both"/>
      </w:pPr>
      <w:r>
        <w:rPr>
          <w:rFonts w:ascii="Arial" w:eastAsia="Arial" w:hAnsi="Arial" w:cs="Arial"/>
          <w:color w:val="000000"/>
        </w:rPr>
        <w:t>Minority businesses, see Fla. Jur. 2d, Busin</w:t>
      </w:r>
      <w:r>
        <w:rPr>
          <w:rFonts w:ascii="Arial" w:eastAsia="Arial" w:hAnsi="Arial" w:cs="Arial"/>
          <w:color w:val="000000"/>
        </w:rPr>
        <w:t>esses and Occupations §§ 1 et seq.</w:t>
      </w:r>
    </w:p>
    <w:p w:rsidR="007A6EB4" w:rsidRDefault="006F3363">
      <w:pPr>
        <w:spacing w:before="200" w:line="300" w:lineRule="atLeast"/>
        <w:jc w:val="both"/>
      </w:pPr>
      <w:r>
        <w:rPr>
          <w:rFonts w:ascii="Arial" w:eastAsia="Arial" w:hAnsi="Arial" w:cs="Arial"/>
          <w:color w:val="000000"/>
        </w:rPr>
        <w:t>Parking regulations, discrimination between residents and nonresidents by, see Fla. Jur. 2d, Automobiles and Other Vehicles §§ 1 et seq.</w:t>
      </w:r>
    </w:p>
    <w:p w:rsidR="007A6EB4" w:rsidRDefault="006F3363">
      <w:pPr>
        <w:spacing w:before="200" w:line="300" w:lineRule="atLeast"/>
        <w:jc w:val="both"/>
      </w:pPr>
      <w:r>
        <w:rPr>
          <w:rFonts w:ascii="Arial" w:eastAsia="Arial" w:hAnsi="Arial" w:cs="Arial"/>
          <w:color w:val="000000"/>
        </w:rPr>
        <w:t>Religious Freedom Restoration Act, see Fla. Jur. 2d, Constitutional Law §§ 1 et seq.</w:t>
      </w:r>
    </w:p>
    <w:p w:rsidR="007A6EB4" w:rsidRDefault="006F3363">
      <w:pPr>
        <w:spacing w:before="200" w:line="300" w:lineRule="atLeast"/>
        <w:jc w:val="both"/>
      </w:pPr>
      <w:r>
        <w:rPr>
          <w:rFonts w:ascii="Arial" w:eastAsia="Arial" w:hAnsi="Arial" w:cs="Arial"/>
          <w:color w:val="000000"/>
        </w:rPr>
        <w:t>Restrictive land development or ownership covenants discriminating on basis of race or religion, see Fla. Jur. 2d, Building, Zoning, and Land Controls §§ 1 et seq.</w:t>
      </w:r>
    </w:p>
    <w:p w:rsidR="007A6EB4" w:rsidRDefault="006F3363">
      <w:pPr>
        <w:spacing w:before="200" w:line="300" w:lineRule="atLeast"/>
        <w:jc w:val="both"/>
      </w:pPr>
      <w:r>
        <w:rPr>
          <w:rFonts w:ascii="Arial" w:eastAsia="Arial" w:hAnsi="Arial" w:cs="Arial"/>
          <w:color w:val="000000"/>
        </w:rPr>
        <w:t>Retirement plans, prohibition against discrimination in, see Fla. Jur. 2d, Pensions and Ret</w:t>
      </w:r>
      <w:r>
        <w:rPr>
          <w:rFonts w:ascii="Arial" w:eastAsia="Arial" w:hAnsi="Arial" w:cs="Arial"/>
          <w:color w:val="000000"/>
        </w:rPr>
        <w:t>irement Funds §§ 1 et seq.</w:t>
      </w:r>
    </w:p>
    <w:p w:rsidR="007A6EB4" w:rsidRDefault="006F3363">
      <w:pPr>
        <w:spacing w:before="200" w:line="300" w:lineRule="atLeast"/>
        <w:jc w:val="both"/>
      </w:pPr>
      <w:r>
        <w:rPr>
          <w:rFonts w:ascii="Arial" w:eastAsia="Arial" w:hAnsi="Arial" w:cs="Arial"/>
          <w:color w:val="000000"/>
        </w:rPr>
        <w:t>Sovereign immunity, waiver, generally, see Fla. Jur. 2d, Government Tort Liability §§ 1 et seq.</w:t>
      </w:r>
    </w:p>
    <w:p w:rsidR="007A6EB4" w:rsidRDefault="006F3363">
      <w:pPr>
        <w:spacing w:before="200" w:line="300" w:lineRule="atLeast"/>
        <w:jc w:val="both"/>
      </w:pPr>
      <w:r>
        <w:rPr>
          <w:rFonts w:ascii="Arial" w:eastAsia="Arial" w:hAnsi="Arial" w:cs="Arial"/>
          <w:color w:val="000000"/>
        </w:rPr>
        <w:t>Transportation rights of physically disabled persons, see Fla. Jur. 2d, Carriers §§ 1 et seq.</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28" style="position:absolute;z-index:251750400" from="0,2pt" to="512pt,2pt" strokecolor="#009ddb" strokeweight="2pt">
            <w10:wrap type="topAndBottom"/>
          </v:line>
        </w:pict>
      </w:r>
    </w:p>
    <w:p w:rsidR="007A6EB4" w:rsidRDefault="007A6EB4">
      <w:pPr>
        <w:spacing w:line="120" w:lineRule="exact"/>
      </w:pPr>
    </w:p>
    <w:p w:rsidR="007A6EB4" w:rsidRDefault="006F3363">
      <w:pPr>
        <w:spacing w:before="240" w:line="300" w:lineRule="atLeast"/>
      </w:pPr>
      <w:r>
        <w:rPr>
          <w:rFonts w:ascii="Arial" w:eastAsia="Arial" w:hAnsi="Arial" w:cs="Arial"/>
          <w:b/>
          <w:color w:val="000000"/>
        </w:rPr>
        <w:lastRenderedPageBreak/>
        <w:t xml:space="preserve">Research </w:t>
      </w:r>
      <w:r>
        <w:rPr>
          <w:rFonts w:ascii="Arial" w:eastAsia="Arial" w:hAnsi="Arial" w:cs="Arial"/>
          <w:b/>
          <w:color w:val="000000"/>
        </w:rPr>
        <w:t>References</w:t>
      </w:r>
    </w:p>
    <w:p w:rsidR="007A6EB4" w:rsidRDefault="006F3363">
      <w:pPr>
        <w:spacing w:before="120" w:line="300" w:lineRule="atLeast"/>
      </w:pPr>
      <w:r>
        <w:rPr>
          <w:rFonts w:ascii="Arial" w:eastAsia="Arial" w:hAnsi="Arial" w:cs="Arial"/>
          <w:color w:val="000000"/>
        </w:rPr>
        <w:t>American Law Reports (ALR)</w:t>
      </w:r>
    </w:p>
    <w:p w:rsidR="007A6EB4" w:rsidRDefault="006F3363">
      <w:pPr>
        <w:spacing w:before="120" w:line="300" w:lineRule="atLeast"/>
      </w:pPr>
      <w:r>
        <w:rPr>
          <w:rFonts w:ascii="Arial" w:eastAsia="Arial" w:hAnsi="Arial" w:cs="Arial"/>
          <w:color w:val="000000"/>
        </w:rPr>
        <w:t>American Jurisprudence 2d (AMJUR)</w:t>
      </w:r>
    </w:p>
    <w:p w:rsidR="007A6EB4" w:rsidRDefault="006F3363">
      <w:pPr>
        <w:spacing w:before="120" w:line="300" w:lineRule="atLeast"/>
      </w:pPr>
      <w:r>
        <w:rPr>
          <w:rFonts w:ascii="Arial" w:eastAsia="Arial" w:hAnsi="Arial" w:cs="Arial"/>
          <w:color w:val="000000"/>
        </w:rPr>
        <w:t>American Jurisprudence Legal Forms 2d (AMJUR-LF)</w:t>
      </w:r>
    </w:p>
    <w:p w:rsidR="007A6EB4" w:rsidRDefault="006F3363">
      <w:pPr>
        <w:spacing w:before="120" w:line="300" w:lineRule="atLeast"/>
      </w:pPr>
      <w:r>
        <w:rPr>
          <w:rFonts w:ascii="Arial" w:eastAsia="Arial" w:hAnsi="Arial" w:cs="Arial"/>
          <w:color w:val="000000"/>
        </w:rPr>
        <w:t>American Jurisprudence Proof of Facts (AMJUR-POF)</w:t>
      </w:r>
    </w:p>
    <w:p w:rsidR="007A6EB4" w:rsidRDefault="006F3363">
      <w:pPr>
        <w:spacing w:before="120" w:line="300" w:lineRule="atLeast"/>
      </w:pPr>
      <w:r>
        <w:rPr>
          <w:rFonts w:ascii="Arial" w:eastAsia="Arial" w:hAnsi="Arial" w:cs="Arial"/>
          <w:color w:val="000000"/>
        </w:rPr>
        <w:t>American Jurisprudence Pleading and Practice Forms Annotated (AMJUR-PP)</w:t>
      </w:r>
    </w:p>
    <w:p w:rsidR="007A6EB4" w:rsidRDefault="006F3363">
      <w:pPr>
        <w:spacing w:before="120" w:line="300" w:lineRule="atLeast"/>
      </w:pPr>
      <w:r>
        <w:rPr>
          <w:rFonts w:ascii="Arial" w:eastAsia="Arial" w:hAnsi="Arial" w:cs="Arial"/>
          <w:color w:val="000000"/>
        </w:rPr>
        <w:t>American Jurisprudence Trials (AMJUR-TRIALS)</w:t>
      </w:r>
    </w:p>
    <w:p w:rsidR="007A6EB4" w:rsidRDefault="006F3363">
      <w:pPr>
        <w:spacing w:before="120" w:line="300" w:lineRule="atLeast"/>
      </w:pPr>
      <w:r>
        <w:rPr>
          <w:rFonts w:ascii="Arial" w:eastAsia="Arial" w:hAnsi="Arial" w:cs="Arial"/>
          <w:color w:val="000000"/>
        </w:rPr>
        <w:t>Corpus Juris Secundum (CJS)</w:t>
      </w:r>
    </w:p>
    <w:p w:rsidR="007A6EB4" w:rsidRDefault="006F3363">
      <w:pPr>
        <w:spacing w:before="120" w:line="300" w:lineRule="atLeast"/>
      </w:pPr>
      <w:r>
        <w:rPr>
          <w:rFonts w:ascii="Arial" w:eastAsia="Arial" w:hAnsi="Arial" w:cs="Arial"/>
          <w:color w:val="000000"/>
        </w:rPr>
        <w:t>Employment Discrimination Coordinator (EDC)</w:t>
      </w:r>
    </w:p>
    <w:p w:rsidR="007A6EB4" w:rsidRDefault="006F3363">
      <w:pPr>
        <w:spacing w:before="120" w:line="300" w:lineRule="atLeast"/>
      </w:pPr>
      <w:r>
        <w:rPr>
          <w:rFonts w:ascii="Arial" w:eastAsia="Arial" w:hAnsi="Arial" w:cs="Arial"/>
          <w:color w:val="000000"/>
        </w:rPr>
        <w:t>Florida Attorney General Opinions (FL-AG)</w:t>
      </w:r>
    </w:p>
    <w:p w:rsidR="007A6EB4" w:rsidRDefault="006F3363">
      <w:pPr>
        <w:spacing w:before="120" w:line="300" w:lineRule="atLeast"/>
      </w:pPr>
      <w:r>
        <w:rPr>
          <w:rFonts w:ascii="Arial" w:eastAsia="Arial" w:hAnsi="Arial" w:cs="Arial"/>
          <w:color w:val="000000"/>
        </w:rPr>
        <w:t>Florida Cases (FL-CS)</w:t>
      </w:r>
    </w:p>
    <w:p w:rsidR="007A6EB4" w:rsidRDefault="006F3363">
      <w:pPr>
        <w:spacing w:before="120" w:line="300" w:lineRule="atLeast"/>
      </w:pPr>
      <w:r>
        <w:rPr>
          <w:rFonts w:ascii="Arial" w:eastAsia="Arial" w:hAnsi="Arial" w:cs="Arial"/>
          <w:color w:val="000000"/>
        </w:rPr>
        <w:t>Florida Journals &amp; Law Reviews (FL-JLR)</w:t>
      </w:r>
    </w:p>
    <w:p w:rsidR="007A6EB4" w:rsidRDefault="006F3363">
      <w:pPr>
        <w:spacing w:before="120" w:line="300" w:lineRule="atLeast"/>
      </w:pPr>
      <w:r>
        <w:rPr>
          <w:rFonts w:ascii="Arial" w:eastAsia="Arial" w:hAnsi="Arial" w:cs="Arial"/>
          <w:color w:val="000000"/>
        </w:rPr>
        <w:t>Florida Jur Forms Legal and Busines</w:t>
      </w:r>
      <w:r>
        <w:rPr>
          <w:rFonts w:ascii="Arial" w:eastAsia="Arial" w:hAnsi="Arial" w:cs="Arial"/>
          <w:color w:val="000000"/>
        </w:rPr>
        <w:t>s (FL-LF)</w:t>
      </w:r>
    </w:p>
    <w:p w:rsidR="007A6EB4" w:rsidRDefault="006F3363">
      <w:pPr>
        <w:spacing w:before="120" w:line="300" w:lineRule="atLeast"/>
      </w:pPr>
      <w:r>
        <w:rPr>
          <w:rFonts w:ascii="Arial" w:eastAsia="Arial" w:hAnsi="Arial" w:cs="Arial"/>
          <w:color w:val="000000"/>
        </w:rPr>
        <w:t>Florida Pleading and Practice Forms (FL-PP)</w:t>
      </w:r>
    </w:p>
    <w:p w:rsidR="007A6EB4" w:rsidRDefault="006F3363">
      <w:pPr>
        <w:spacing w:before="120" w:line="300" w:lineRule="atLeast"/>
      </w:pPr>
      <w:r>
        <w:rPr>
          <w:rFonts w:ascii="Arial" w:eastAsia="Arial" w:hAnsi="Arial" w:cs="Arial"/>
          <w:color w:val="000000"/>
        </w:rPr>
        <w:t>Florida Statutes -- Annotated (FL-ST-ANN)</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29" style="position:absolute;left:0;text-align:left;z-index:25179648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3"/>
          <w:headerReference w:type="default" r:id="rId14"/>
          <w:footerReference w:type="even" r:id="rId15"/>
          <w:footerReference w:type="default" r:id="rId16"/>
          <w:headerReference w:type="first" r:id="rId17"/>
          <w:footerReference w:type="first" r:id="rId18"/>
          <w:pgSz w:w="12240" w:h="15840"/>
          <w:pgMar w:top="840" w:right="1000" w:bottom="840" w:left="1000" w:header="400" w:footer="400" w:gutter="0"/>
          <w:cols w:space="720"/>
          <w:titlePg/>
        </w:sectPr>
      </w:pPr>
    </w:p>
    <w:p w:rsidR="007A6EB4" w:rsidRDefault="007A6EB4">
      <w:bookmarkStart w:id="2" w:name="Bookmark_2"/>
      <w:bookmarkEnd w:id="2"/>
    </w:p>
    <w:p w:rsidR="007A6EB4" w:rsidRDefault="006F3363">
      <w:r>
        <w:pict>
          <v:shape id="_x0000_i1026"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A. Overview</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31" style="position:absolute;z-index:25165926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 Civil rights defined; standing to sue</w:t>
      </w:r>
    </w:p>
    <w:p w:rsidR="007A6EB4" w:rsidRDefault="006F3363">
      <w:pPr>
        <w:spacing w:line="60" w:lineRule="exact"/>
      </w:pPr>
      <w:r>
        <w:pict>
          <v:line id="_x0000_s1032" style="position:absolute;z-index:25170534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"Civil rights" refers to </w:t>
      </w:r>
      <w:r>
        <w:rPr>
          <w:rFonts w:ascii="Arial" w:eastAsia="Arial" w:hAnsi="Arial" w:cs="Arial"/>
          <w:color w:val="000000"/>
        </w:rPr>
        <w:t>the enjoyment of such guaranties as are contained in constitutional or statutory law, such as the First Amendment right of free expression. More specifically, the term refers to the guaranties found in the civil-rights amendments to the Federal Constitutio</w:t>
      </w:r>
      <w:r>
        <w:rPr>
          <w:rFonts w:ascii="Arial" w:eastAsia="Arial" w:hAnsi="Arial" w:cs="Arial"/>
          <w:color w:val="000000"/>
        </w:rPr>
        <w:t>n and federal statutes enacted pursuant thereto and in similar state constitutional and statutory provisions designed to prevent discrimination in the treatment of persons by reason of their race, color, sex, age, religion, handicap, or national origin.</w:t>
      </w:r>
      <w:r>
        <w:rPr>
          <w:rFonts w:ascii="Arial" w:eastAsia="Arial" w:hAnsi="Arial" w:cs="Arial"/>
          <w:vertAlign w:val="superscript"/>
        </w:rPr>
        <w:footnoteReference w:customMarkFollows="1" w:id="1"/>
        <w:t>n1</w:t>
      </w:r>
    </w:p>
    <w:p w:rsidR="007A6EB4" w:rsidRDefault="006F3363">
      <w:pPr>
        <w:spacing w:before="200" w:line="300" w:lineRule="atLeast"/>
        <w:jc w:val="both"/>
      </w:pPr>
      <w:r>
        <w:rPr>
          <w:rFonts w:ascii="Arial" w:eastAsia="Arial" w:hAnsi="Arial" w:cs="Arial"/>
          <w:color w:val="000000"/>
        </w:rPr>
        <w:t>Only persons actually deprived of their individual civil rights can seek redress of such rights.</w:t>
      </w:r>
      <w:r>
        <w:rPr>
          <w:rFonts w:ascii="Arial" w:eastAsia="Arial" w:hAnsi="Arial" w:cs="Arial"/>
          <w:vertAlign w:val="superscript"/>
        </w:rPr>
        <w:footnoteReference w:customMarkFollows="1" w:id="2"/>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33" style="position:absolute;z-index:25175142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[westkey]1001, 1105, 1147, 1224, 1373, 1376(1), 1376(3), 1376(4), 1376(9), 1376(10), 1701, 1702, </w:t>
      </w:r>
      <w:r>
        <w:rPr>
          <w:rFonts w:ascii="Arial" w:eastAsia="Arial" w:hAnsi="Arial" w:cs="Arial"/>
          <w:color w:val="000000"/>
        </w:rPr>
        <w:t>1707, 1709 to 1721, 1735, 1746, 1764 to 1774, 1807, 1808</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t>West's Key Number Digest, Courts [westkey]97(5)</w:t>
      </w:r>
    </w:p>
    <w:p w:rsidR="007A6EB4" w:rsidRDefault="006F3363">
      <w:pPr>
        <w:spacing w:before="120" w:line="300" w:lineRule="atLeast"/>
      </w:pPr>
      <w:r>
        <w:rPr>
          <w:rFonts w:ascii="Arial" w:eastAsia="Arial" w:hAnsi="Arial" w:cs="Arial"/>
          <w:color w:val="000000"/>
        </w:rPr>
        <w:t>West's Key Number Digest, States [westkey]191.9(1)</w:t>
      </w:r>
    </w:p>
    <w:p w:rsidR="007A6EB4" w:rsidRDefault="006F3363">
      <w:pPr>
        <w:spacing w:before="120" w:line="300" w:lineRule="atLeast"/>
      </w:pPr>
      <w:r>
        <w:rPr>
          <w:rFonts w:ascii="Arial" w:eastAsia="Arial" w:hAnsi="Arial" w:cs="Arial"/>
          <w:color w:val="000000"/>
        </w:rPr>
        <w:t>West's Key Number Digest, Statute</w:t>
      </w:r>
      <w:r>
        <w:rPr>
          <w:rFonts w:ascii="Arial" w:eastAsia="Arial" w:hAnsi="Arial" w:cs="Arial"/>
          <w:color w:val="000000"/>
        </w:rPr>
        <w:t>s [westkey]226</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lastRenderedPageBreak/>
        <w:t>West's A.L.R. Digest, Civil Rights [westkey]1001, 1105, 1147, 1224, 1373, 1376(1), 1376(3), 1376(4), 1376(9), 1376(10), 1701, 1702, 1707, 1709 to 1721, 1735, 1</w:t>
      </w:r>
      <w:r>
        <w:rPr>
          <w:rFonts w:ascii="Arial" w:eastAsia="Arial" w:hAnsi="Arial" w:cs="Arial"/>
          <w:color w:val="000000"/>
        </w:rPr>
        <w:t>746, 1764 to 1774, 1807, 1808</w:t>
      </w:r>
    </w:p>
    <w:p w:rsidR="007A6EB4" w:rsidRDefault="006F3363">
      <w:pPr>
        <w:spacing w:before="120" w:line="300" w:lineRule="atLeast"/>
      </w:pPr>
      <w:r>
        <w:rPr>
          <w:rFonts w:ascii="Arial" w:eastAsia="Arial" w:hAnsi="Arial" w:cs="Arial"/>
          <w:color w:val="000000"/>
        </w:rPr>
        <w:t>West's A.L.R. Digest, Constitutional Law [westkey]1065 to 1129</w:t>
      </w:r>
    </w:p>
    <w:p w:rsidR="007A6EB4" w:rsidRDefault="006F3363">
      <w:pPr>
        <w:spacing w:before="120" w:line="300" w:lineRule="atLeast"/>
      </w:pPr>
      <w:r>
        <w:rPr>
          <w:rFonts w:ascii="Arial" w:eastAsia="Arial" w:hAnsi="Arial" w:cs="Arial"/>
          <w:color w:val="000000"/>
        </w:rPr>
        <w:t>West's A.L.R. Digest, Courts [westkey]97(5)</w:t>
      </w:r>
    </w:p>
    <w:p w:rsidR="007A6EB4" w:rsidRDefault="006F3363">
      <w:pPr>
        <w:spacing w:before="120" w:line="300" w:lineRule="atLeast"/>
      </w:pPr>
      <w:r>
        <w:rPr>
          <w:rFonts w:ascii="Arial" w:eastAsia="Arial" w:hAnsi="Arial" w:cs="Arial"/>
          <w:color w:val="000000"/>
        </w:rPr>
        <w:t>West's A.L.R. Digest, States [westkey]191.9(1)</w:t>
      </w:r>
    </w:p>
    <w:p w:rsidR="007A6EB4" w:rsidRDefault="006F3363">
      <w:pPr>
        <w:spacing w:before="120" w:line="300" w:lineRule="atLeast"/>
      </w:pPr>
      <w:r>
        <w:rPr>
          <w:rFonts w:ascii="Arial" w:eastAsia="Arial" w:hAnsi="Arial" w:cs="Arial"/>
          <w:color w:val="000000"/>
        </w:rPr>
        <w:t>West's A.L.R. Digest, Statutes [westkey]226</w:t>
      </w:r>
    </w:p>
    <w:p w:rsidR="007A6EB4" w:rsidRDefault="006F3363">
      <w:pPr>
        <w:spacing w:before="120" w:line="300" w:lineRule="atLeast"/>
      </w:pPr>
      <w:r>
        <w:rPr>
          <w:rFonts w:ascii="Arial" w:eastAsia="Arial" w:hAnsi="Arial" w:cs="Arial"/>
          <w:color w:val="000000"/>
        </w:rPr>
        <w:t>Am. Jur. 2d, Civil Rights §§</w:t>
      </w:r>
      <w:r>
        <w:rPr>
          <w:rFonts w:ascii="Arial" w:eastAsia="Arial" w:hAnsi="Arial" w:cs="Arial"/>
          <w:color w:val="000000"/>
        </w:rPr>
        <w:t xml:space="preserve"> 1 to 18</w:t>
      </w:r>
    </w:p>
    <w:p w:rsidR="007A6EB4" w:rsidRDefault="006F3363">
      <w:pPr>
        <w:spacing w:before="120" w:line="300" w:lineRule="atLeast"/>
      </w:pPr>
      <w:r>
        <w:rPr>
          <w:rFonts w:ascii="Arial" w:eastAsia="Arial" w:hAnsi="Arial" w:cs="Arial"/>
          <w:color w:val="000000"/>
        </w:rPr>
        <w:t>C.J.S., Civil Rights §§ 1 to 23</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West's Key Number Digest, Civil Rights [westkey]1001, 1735</w:t>
      </w:r>
    </w:p>
    <w:p w:rsidR="007A6EB4" w:rsidRDefault="006F3363">
      <w:pPr>
        <w:spacing w:before="120" w:line="300" w:lineRule="atLeast"/>
      </w:pPr>
      <w:r>
        <w:rPr>
          <w:rFonts w:ascii="Arial" w:eastAsia="Arial" w:hAnsi="Arial" w:cs="Arial"/>
          <w:color w:val="000000"/>
        </w:rPr>
        <w:t>West's Key Number Digest, Statutes [westkey]226</w:t>
      </w:r>
    </w:p>
    <w:p w:rsidR="007A6EB4" w:rsidRDefault="006F3363">
      <w:pPr>
        <w:spacing w:before="120" w:line="300" w:lineRule="atLeast"/>
      </w:pPr>
      <w:r>
        <w:rPr>
          <w:rFonts w:ascii="Arial" w:eastAsia="Arial" w:hAnsi="Arial" w:cs="Arial"/>
          <w:color w:val="000000"/>
        </w:rPr>
        <w:t xml:space="preserve">Assignability and </w:t>
      </w:r>
      <w:r>
        <w:rPr>
          <w:rFonts w:ascii="Arial" w:eastAsia="Arial" w:hAnsi="Arial" w:cs="Arial"/>
          <w:color w:val="000000"/>
        </w:rPr>
        <w:t>survivability of cause of action created by civil rights statute, 88 A.L.R.2d 1153</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34" style="position:absolute;z-index:25179750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Union representing more than 40,000 Florida state employees who would be subject to executive order (EO) imposing random drug testing had standing to su</w:t>
      </w:r>
      <w:r>
        <w:rPr>
          <w:rFonts w:ascii="Arial" w:eastAsia="Arial" w:hAnsi="Arial" w:cs="Arial"/>
          <w:color w:val="000000"/>
        </w:rPr>
        <w:t xml:space="preserve">e Governor of Florida on behalf of its members; those members would have standing to sue in their own right, and alleged injury of violation of constitutional protection against unreasonable searches satisfied injury-in-fact elements, was traceable to EO, </w:t>
      </w:r>
      <w:r>
        <w:rPr>
          <w:rFonts w:ascii="Arial" w:eastAsia="Arial" w:hAnsi="Arial" w:cs="Arial"/>
          <w:color w:val="000000"/>
        </w:rPr>
        <w:t>and could be redressed by relief requested. U.S.C.A. Const. Art. 3, § 2, cl. 1; U.S.C.A. Const.Amend. 4; West's F.S.A. § 447.301(2). American Federation of State County and Mun. Employees (AFSCME) Council 79 v. Scott, 857 F. Supp. 2d 1322 (S.D. Fla. 2012).</w:t>
      </w:r>
    </w:p>
    <w:p w:rsidR="007A6EB4" w:rsidRDefault="006F3363">
      <w:pPr>
        <w:spacing w:before="200" w:line="300" w:lineRule="atLeast"/>
        <w:jc w:val="both"/>
      </w:pPr>
      <w:r>
        <w:rPr>
          <w:rFonts w:ascii="Arial" w:eastAsia="Arial" w:hAnsi="Arial" w:cs="Arial"/>
          <w:color w:val="000000"/>
        </w:rPr>
        <w:t xml:space="preserve">Aunt of developmentally disabled child formerly in custody of state foster care system had not, herself, suffered injury-in-fact required to have standing to assert claims against state of Florida, its department of children and family services (DCF), or </w:t>
      </w:r>
      <w:r>
        <w:rPr>
          <w:rFonts w:ascii="Arial" w:eastAsia="Arial" w:hAnsi="Arial" w:cs="Arial"/>
          <w:color w:val="000000"/>
        </w:rPr>
        <w:t xml:space="preserve">two private community-based foster care agencies, for their failure to properly care for child, or for promissory estoppel to recover benefits allegedly wrongfully withheld from child. U.S.C.A. Const. Art. 3, § 2, cl. 1. Woodburn v. State of Florida Dept. </w:t>
      </w:r>
      <w:r>
        <w:rPr>
          <w:rFonts w:ascii="Arial" w:eastAsia="Arial" w:hAnsi="Arial" w:cs="Arial"/>
          <w:color w:val="000000"/>
        </w:rPr>
        <w:t>of Children and Family Services, 854 F. Supp. 2d 1184 (S.D. Fla. 2011).</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35" style="position:absolute;left:0;text-align:left;z-index:25184256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9"/>
          <w:headerReference w:type="default" r:id="rId20"/>
          <w:footerReference w:type="even" r:id="rId21"/>
          <w:footerReference w:type="default" r:id="rId22"/>
          <w:headerReference w:type="first" r:id="rId23"/>
          <w:footerReference w:type="first" r:id="rId24"/>
          <w:pgSz w:w="12240" w:h="15840"/>
          <w:pgMar w:top="840" w:right="1000" w:bottom="840" w:left="1000" w:header="400" w:footer="400" w:gutter="0"/>
          <w:cols w:space="720"/>
          <w:titlePg/>
        </w:sectPr>
      </w:pPr>
    </w:p>
    <w:p w:rsidR="007A6EB4" w:rsidRDefault="007A6EB4">
      <w:bookmarkStart w:id="3" w:name="Bookmark_3"/>
      <w:bookmarkEnd w:id="3"/>
    </w:p>
    <w:p w:rsidR="007A6EB4" w:rsidRDefault="006F3363">
      <w:r>
        <w:pict>
          <v:shape id="_x0000_i1027"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A. Overview</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37" style="position:absolute;z-index:25166028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 State guaranties; applicability of federal law</w:t>
      </w:r>
    </w:p>
    <w:p w:rsidR="007A6EB4" w:rsidRDefault="006F3363">
      <w:pPr>
        <w:spacing w:line="60" w:lineRule="exact"/>
      </w:pPr>
      <w:r>
        <w:pict>
          <v:line id="_x0000_s1038" style="position:absolute;z-index:25170636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The Florida Constitution </w:t>
      </w:r>
      <w:r>
        <w:rPr>
          <w:rFonts w:ascii="Arial" w:eastAsia="Arial" w:hAnsi="Arial" w:cs="Arial"/>
          <w:color w:val="000000"/>
        </w:rPr>
        <w:t>declares that all natural persons, female and male alike, are equal before the law and have inalienable rights, among which are the right to enjoy and defend life and liberty, to pursue happiness, to be rewarded for industry, and to acquire, possess, and p</w:t>
      </w:r>
      <w:r>
        <w:rPr>
          <w:rFonts w:ascii="Arial" w:eastAsia="Arial" w:hAnsi="Arial" w:cs="Arial"/>
          <w:color w:val="000000"/>
        </w:rPr>
        <w:t>rotect property.</w:t>
      </w:r>
      <w:r>
        <w:rPr>
          <w:rFonts w:ascii="Arial" w:eastAsia="Arial" w:hAnsi="Arial" w:cs="Arial"/>
          <w:vertAlign w:val="superscript"/>
        </w:rPr>
        <w:footnoteReference w:customMarkFollows="1" w:id="3"/>
        <w:t>n1</w:t>
      </w:r>
      <w:r>
        <w:rPr>
          <w:rFonts w:ascii="Arial" w:eastAsia="Arial" w:hAnsi="Arial" w:cs="Arial"/>
          <w:color w:val="000000"/>
        </w:rPr>
        <w:t xml:space="preserve"> Furthermore, under the constitution, no person shall be deprived of any right because of race, religion, national origin, or physical disability.</w:t>
      </w:r>
      <w:r>
        <w:rPr>
          <w:rFonts w:ascii="Arial" w:eastAsia="Arial" w:hAnsi="Arial" w:cs="Arial"/>
          <w:vertAlign w:val="superscript"/>
        </w:rPr>
        <w:footnoteReference w:customMarkFollows="1" w:id="4"/>
        <w:t>n2</w:t>
      </w:r>
      <w:r>
        <w:rPr>
          <w:rFonts w:ascii="Arial" w:eastAsia="Arial" w:hAnsi="Arial" w:cs="Arial"/>
          <w:color w:val="000000"/>
        </w:rPr>
        <w:t xml:space="preserve"> Certain specific rights of the people are enumerated in the Florida Constitution,</w:t>
      </w:r>
      <w:r>
        <w:rPr>
          <w:rFonts w:ascii="Arial" w:eastAsia="Arial" w:hAnsi="Arial" w:cs="Arial"/>
          <w:vertAlign w:val="superscript"/>
        </w:rPr>
        <w:footnoteReference w:customMarkFollows="1" w:id="5"/>
        <w:t>n3</w:t>
      </w:r>
      <w:r>
        <w:rPr>
          <w:rFonts w:ascii="Arial" w:eastAsia="Arial" w:hAnsi="Arial" w:cs="Arial"/>
          <w:color w:val="000000"/>
        </w:rPr>
        <w:t xml:space="preserve"> but t</w:t>
      </w:r>
      <w:r>
        <w:rPr>
          <w:rFonts w:ascii="Arial" w:eastAsia="Arial" w:hAnsi="Arial" w:cs="Arial"/>
          <w:color w:val="000000"/>
        </w:rPr>
        <w:t>his enumeration of rights is not to be construed to impair or deny other rights retained by the people.</w:t>
      </w:r>
      <w:r>
        <w:rPr>
          <w:rFonts w:ascii="Arial" w:eastAsia="Arial" w:hAnsi="Arial" w:cs="Arial"/>
          <w:vertAlign w:val="superscript"/>
        </w:rPr>
        <w:footnoteReference w:customMarkFollows="1" w:id="6"/>
        <w:t>n4</w:t>
      </w:r>
    </w:p>
    <w:p w:rsidR="007A6EB4" w:rsidRDefault="006F3363">
      <w:pPr>
        <w:spacing w:before="200" w:line="300" w:lineRule="atLeast"/>
        <w:jc w:val="both"/>
      </w:pPr>
      <w:r>
        <w:rPr>
          <w:rFonts w:ascii="Arial" w:eastAsia="Arial" w:hAnsi="Arial" w:cs="Arial"/>
          <w:color w:val="000000"/>
        </w:rPr>
        <w:t xml:space="preserve">Observation: The state constitutional provision stating that no person shall be deprived of any right because of race, religion, or physical handicap </w:t>
      </w:r>
      <w:r>
        <w:rPr>
          <w:rFonts w:ascii="Arial" w:eastAsia="Arial" w:hAnsi="Arial" w:cs="Arial"/>
          <w:color w:val="000000"/>
        </w:rPr>
        <w:t>requires that the matter in question involve a state action, rather than private conduct, before any relief can be granted under the provision.</w:t>
      </w:r>
      <w:r>
        <w:rPr>
          <w:rFonts w:ascii="Arial" w:eastAsia="Arial" w:hAnsi="Arial" w:cs="Arial"/>
          <w:vertAlign w:val="superscript"/>
        </w:rPr>
        <w:footnoteReference w:customMarkFollows="1" w:id="7"/>
        <w:t>n5</w:t>
      </w:r>
      <w:r>
        <w:rPr>
          <w:rFonts w:ascii="Arial" w:eastAsia="Arial" w:hAnsi="Arial" w:cs="Arial"/>
          <w:color w:val="000000"/>
        </w:rPr>
        <w:t xml:space="preserve"> Accordingly, it does not apply, for example, to private acts of employment discrimination.</w:t>
      </w:r>
      <w:r>
        <w:rPr>
          <w:rFonts w:ascii="Arial" w:eastAsia="Arial" w:hAnsi="Arial" w:cs="Arial"/>
          <w:vertAlign w:val="superscript"/>
        </w:rPr>
        <w:footnoteReference w:customMarkFollows="1" w:id="8"/>
        <w:t>n6</w:t>
      </w:r>
      <w:r>
        <w:rPr>
          <w:rFonts w:ascii="Arial" w:eastAsia="Arial" w:hAnsi="Arial" w:cs="Arial"/>
          <w:color w:val="000000"/>
        </w:rPr>
        <w:t xml:space="preserve"> However, an emplo</w:t>
      </w:r>
      <w:r>
        <w:rPr>
          <w:rFonts w:ascii="Arial" w:eastAsia="Arial" w:hAnsi="Arial" w:cs="Arial"/>
          <w:color w:val="000000"/>
        </w:rPr>
        <w:t>yee who alleges employment discrimination by a state entity can bring a claim based on such constitutional right.</w:t>
      </w:r>
      <w:r>
        <w:rPr>
          <w:rFonts w:ascii="Arial" w:eastAsia="Arial" w:hAnsi="Arial" w:cs="Arial"/>
          <w:vertAlign w:val="superscript"/>
        </w:rPr>
        <w:footnoteReference w:customMarkFollows="1" w:id="9"/>
        <w:t>n7</w:t>
      </w:r>
    </w:p>
    <w:p w:rsidR="007A6EB4" w:rsidRDefault="006F3363">
      <w:pPr>
        <w:spacing w:before="200" w:line="300" w:lineRule="atLeast"/>
        <w:jc w:val="both"/>
      </w:pPr>
      <w:r>
        <w:rPr>
          <w:rFonts w:ascii="Arial" w:eastAsia="Arial" w:hAnsi="Arial" w:cs="Arial"/>
          <w:color w:val="000000"/>
        </w:rPr>
        <w:lastRenderedPageBreak/>
        <w:t>Florida statutes also provide for civil rights, such as one that guarantees an incapacitated person the right to be free from discrimination</w:t>
      </w:r>
      <w:r>
        <w:rPr>
          <w:rFonts w:ascii="Arial" w:eastAsia="Arial" w:hAnsi="Arial" w:cs="Arial"/>
          <w:color w:val="000000"/>
        </w:rPr>
        <w:t xml:space="preserve"> because of the incapacity.</w:t>
      </w:r>
      <w:r>
        <w:rPr>
          <w:rFonts w:ascii="Arial" w:eastAsia="Arial" w:hAnsi="Arial" w:cs="Arial"/>
          <w:vertAlign w:val="superscript"/>
        </w:rPr>
        <w:footnoteReference w:customMarkFollows="1" w:id="10"/>
        <w:t>n8</w:t>
      </w:r>
      <w:r>
        <w:rPr>
          <w:rFonts w:ascii="Arial" w:eastAsia="Arial" w:hAnsi="Arial" w:cs="Arial"/>
          <w:color w:val="000000"/>
        </w:rPr>
        <w:t xml:space="preserve"> The Florida Legislature has enacted statutes</w:t>
      </w:r>
      <w:r>
        <w:rPr>
          <w:rFonts w:ascii="Arial" w:eastAsia="Arial" w:hAnsi="Arial" w:cs="Arial"/>
          <w:vertAlign w:val="superscript"/>
        </w:rPr>
        <w:footnoteReference w:customMarkFollows="1" w:id="11"/>
        <w:t>n9</w:t>
      </w:r>
      <w:r>
        <w:rPr>
          <w:rFonts w:ascii="Arial" w:eastAsia="Arial" w:hAnsi="Arial" w:cs="Arial"/>
          <w:color w:val="000000"/>
        </w:rPr>
        <w:t xml:space="preserve"> collectively referred to as the "Civil Rights Act of 1992,"</w:t>
      </w:r>
      <w:r>
        <w:rPr>
          <w:rFonts w:ascii="Arial" w:eastAsia="Arial" w:hAnsi="Arial" w:cs="Arial"/>
          <w:vertAlign w:val="superscript"/>
        </w:rPr>
        <w:footnoteReference w:customMarkFollows="1" w:id="12"/>
        <w:t>n10</w:t>
      </w:r>
      <w:r>
        <w:rPr>
          <w:rFonts w:ascii="Arial" w:eastAsia="Arial" w:hAnsi="Arial" w:cs="Arial"/>
          <w:color w:val="000000"/>
        </w:rPr>
        <w:t xml:space="preserve"> statutes</w:t>
      </w:r>
      <w:r>
        <w:rPr>
          <w:rFonts w:ascii="Arial" w:eastAsia="Arial" w:hAnsi="Arial" w:cs="Arial"/>
          <w:vertAlign w:val="superscript"/>
        </w:rPr>
        <w:footnoteReference w:customMarkFollows="1" w:id="13"/>
        <w:t>n11</w:t>
      </w:r>
      <w:r>
        <w:rPr>
          <w:rFonts w:ascii="Arial" w:eastAsia="Arial" w:hAnsi="Arial" w:cs="Arial"/>
          <w:color w:val="000000"/>
        </w:rPr>
        <w:t xml:space="preserve"> designated as the "Fair Housing Act,"</w:t>
      </w:r>
      <w:r>
        <w:rPr>
          <w:rFonts w:ascii="Arial" w:eastAsia="Arial" w:hAnsi="Arial" w:cs="Arial"/>
          <w:vertAlign w:val="superscript"/>
        </w:rPr>
        <w:footnoteReference w:customMarkFollows="1" w:id="14"/>
        <w:t>n12</w:t>
      </w:r>
      <w:r>
        <w:rPr>
          <w:rFonts w:ascii="Arial" w:eastAsia="Arial" w:hAnsi="Arial" w:cs="Arial"/>
          <w:color w:val="000000"/>
        </w:rPr>
        <w:t xml:space="preserve"> an Equal Pay Act,</w:t>
      </w:r>
      <w:r>
        <w:rPr>
          <w:rFonts w:ascii="Arial" w:eastAsia="Arial" w:hAnsi="Arial" w:cs="Arial"/>
          <w:vertAlign w:val="superscript"/>
        </w:rPr>
        <w:footnoteReference w:customMarkFollows="1" w:id="15"/>
        <w:t>n13</w:t>
      </w:r>
      <w:r>
        <w:rPr>
          <w:rFonts w:ascii="Arial" w:eastAsia="Arial" w:hAnsi="Arial" w:cs="Arial"/>
          <w:color w:val="000000"/>
        </w:rPr>
        <w:t xml:space="preserve"> and other laws to protect the civil rights</w:t>
      </w:r>
      <w:r>
        <w:rPr>
          <w:rFonts w:ascii="Arial" w:eastAsia="Arial" w:hAnsi="Arial" w:cs="Arial"/>
          <w:color w:val="000000"/>
        </w:rPr>
        <w:t xml:space="preserve"> of certain citizens.</w:t>
      </w:r>
      <w:r>
        <w:rPr>
          <w:rFonts w:ascii="Arial" w:eastAsia="Arial" w:hAnsi="Arial" w:cs="Arial"/>
          <w:vertAlign w:val="superscript"/>
        </w:rPr>
        <w:footnoteReference w:customMarkFollows="1" w:id="16"/>
        <w:t>n14</w:t>
      </w:r>
    </w:p>
    <w:p w:rsidR="007A6EB4" w:rsidRDefault="006F3363">
      <w:pPr>
        <w:spacing w:before="200" w:line="300" w:lineRule="atLeast"/>
        <w:jc w:val="both"/>
      </w:pPr>
      <w:r>
        <w:rPr>
          <w:rFonts w:ascii="Arial" w:eastAsia="Arial" w:hAnsi="Arial" w:cs="Arial"/>
          <w:color w:val="000000"/>
        </w:rPr>
        <w:t>Where a Florida civil-rights provision is patterned after a federal law on the same subject, the Florida law will be accorded the same construction as that given to federal law in the federal courts insofar as such interpretation i</w:t>
      </w:r>
      <w:r>
        <w:rPr>
          <w:rFonts w:ascii="Arial" w:eastAsia="Arial" w:hAnsi="Arial" w:cs="Arial"/>
          <w:color w:val="000000"/>
        </w:rPr>
        <w:t>s harmonious with the spirit and policy of the Florida legislation.</w:t>
      </w:r>
      <w:r>
        <w:rPr>
          <w:rFonts w:ascii="Arial" w:eastAsia="Arial" w:hAnsi="Arial" w:cs="Arial"/>
          <w:vertAlign w:val="superscript"/>
        </w:rPr>
        <w:footnoteReference w:customMarkFollows="1" w:id="17"/>
        <w:t>n15</w:t>
      </w:r>
      <w:r>
        <w:rPr>
          <w:rFonts w:ascii="Arial" w:eastAsia="Arial" w:hAnsi="Arial" w:cs="Arial"/>
          <w:color w:val="000000"/>
        </w:rPr>
        <w:t xml:space="preserve"> Thus, the Florida Civil Rights Act</w:t>
      </w:r>
      <w:r>
        <w:rPr>
          <w:rFonts w:ascii="Arial" w:eastAsia="Arial" w:hAnsi="Arial" w:cs="Arial"/>
          <w:vertAlign w:val="superscript"/>
        </w:rPr>
        <w:footnoteReference w:customMarkFollows="1" w:id="18"/>
        <w:t>n16</w:t>
      </w:r>
      <w:r>
        <w:rPr>
          <w:rFonts w:ascii="Arial" w:eastAsia="Arial" w:hAnsi="Arial" w:cs="Arial"/>
          <w:color w:val="000000"/>
        </w:rPr>
        <w:t xml:space="preserve"> should be construed in conformity with the Federal Rehabilitation Act,</w:t>
      </w:r>
      <w:r>
        <w:rPr>
          <w:rFonts w:ascii="Arial" w:eastAsia="Arial" w:hAnsi="Arial" w:cs="Arial"/>
          <w:vertAlign w:val="superscript"/>
        </w:rPr>
        <w:footnoteReference w:customMarkFollows="1" w:id="19"/>
        <w:t>n17</w:t>
      </w:r>
      <w:r>
        <w:rPr>
          <w:rFonts w:ascii="Arial" w:eastAsia="Arial" w:hAnsi="Arial" w:cs="Arial"/>
          <w:color w:val="000000"/>
        </w:rPr>
        <w:t xml:space="preserve"> the Americans with Disabilities Act (ADA),</w:t>
      </w:r>
      <w:r>
        <w:rPr>
          <w:rFonts w:ascii="Arial" w:eastAsia="Arial" w:hAnsi="Arial" w:cs="Arial"/>
          <w:vertAlign w:val="superscript"/>
        </w:rPr>
        <w:footnoteReference w:customMarkFollows="1" w:id="20"/>
        <w:t>n18</w:t>
      </w:r>
      <w:r>
        <w:rPr>
          <w:rFonts w:ascii="Arial" w:eastAsia="Arial" w:hAnsi="Arial" w:cs="Arial"/>
          <w:color w:val="000000"/>
        </w:rPr>
        <w:t xml:space="preserve"> and related regulations.</w:t>
      </w:r>
      <w:r>
        <w:rPr>
          <w:rFonts w:ascii="Arial" w:eastAsia="Arial" w:hAnsi="Arial" w:cs="Arial"/>
          <w:vertAlign w:val="superscript"/>
        </w:rPr>
        <w:footnoteReference w:customMarkFollows="1" w:id="21"/>
        <w:t>n19</w:t>
      </w:r>
      <w:r>
        <w:rPr>
          <w:rFonts w:ascii="Arial" w:eastAsia="Arial" w:hAnsi="Arial" w:cs="Arial"/>
          <w:color w:val="000000"/>
        </w:rPr>
        <w:t xml:space="preserve"> Furthermore, federal case law interpreting Title VII</w:t>
      </w:r>
      <w:r>
        <w:rPr>
          <w:rFonts w:ascii="Arial" w:eastAsia="Arial" w:hAnsi="Arial" w:cs="Arial"/>
          <w:vertAlign w:val="superscript"/>
        </w:rPr>
        <w:footnoteReference w:customMarkFollows="1" w:id="22"/>
        <w:t>n20</w:t>
      </w:r>
      <w:r>
        <w:rPr>
          <w:rFonts w:ascii="Arial" w:eastAsia="Arial" w:hAnsi="Arial" w:cs="Arial"/>
          <w:color w:val="000000"/>
        </w:rPr>
        <w:t xml:space="preserve"> or the Age Discrimination in Employment Act</w:t>
      </w:r>
      <w:r>
        <w:rPr>
          <w:rFonts w:ascii="Arial" w:eastAsia="Arial" w:hAnsi="Arial" w:cs="Arial"/>
          <w:vertAlign w:val="superscript"/>
        </w:rPr>
        <w:footnoteReference w:customMarkFollows="1" w:id="23"/>
        <w:t>n21</w:t>
      </w:r>
      <w:r>
        <w:rPr>
          <w:rFonts w:ascii="Arial" w:eastAsia="Arial" w:hAnsi="Arial" w:cs="Arial"/>
          <w:color w:val="000000"/>
        </w:rPr>
        <w:t xml:space="preserve"> is applicable to cases arising under Florida Civil Rights Act of 1992,</w:t>
      </w:r>
      <w:r>
        <w:rPr>
          <w:rFonts w:ascii="Arial" w:eastAsia="Arial" w:hAnsi="Arial" w:cs="Arial"/>
          <w:vertAlign w:val="superscript"/>
        </w:rPr>
        <w:footnoteReference w:customMarkFollows="1" w:id="24"/>
        <w:t>n22</w:t>
      </w:r>
      <w:r>
        <w:rPr>
          <w:rFonts w:ascii="Arial" w:eastAsia="Arial" w:hAnsi="Arial" w:cs="Arial"/>
          <w:color w:val="000000"/>
        </w:rPr>
        <w:t xml:space="preserve"> which are analyzed under the same framework.</w:t>
      </w:r>
      <w:r>
        <w:rPr>
          <w:rFonts w:ascii="Arial" w:eastAsia="Arial" w:hAnsi="Arial" w:cs="Arial"/>
          <w:vertAlign w:val="superscript"/>
        </w:rPr>
        <w:footnoteReference w:customMarkFollows="1" w:id="25"/>
        <w:t>n23</w:t>
      </w:r>
      <w:r>
        <w:rPr>
          <w:rFonts w:ascii="Arial" w:eastAsia="Arial" w:hAnsi="Arial" w:cs="Arial"/>
          <w:color w:val="000000"/>
        </w:rPr>
        <w:t xml:space="preserve"> Thus, for example, since the F</w:t>
      </w:r>
      <w:r>
        <w:rPr>
          <w:rFonts w:ascii="Arial" w:eastAsia="Arial" w:hAnsi="Arial" w:cs="Arial"/>
          <w:color w:val="000000"/>
        </w:rPr>
        <w:t>lorida Civil Rights Act is patterned after Title VII, federal case law regarding Title VII is applicable in resolving a claim for sexual harassment.</w:t>
      </w:r>
      <w:r>
        <w:rPr>
          <w:rFonts w:ascii="Arial" w:eastAsia="Arial" w:hAnsi="Arial" w:cs="Arial"/>
          <w:vertAlign w:val="superscript"/>
        </w:rPr>
        <w:footnoteReference w:customMarkFollows="1" w:id="26"/>
        <w:t>n24</w:t>
      </w:r>
      <w:r>
        <w:rPr>
          <w:rFonts w:ascii="Arial" w:eastAsia="Arial" w:hAnsi="Arial" w:cs="Arial"/>
          <w:color w:val="000000"/>
        </w:rPr>
        <w:t xml:space="preserve"> However, in light of the exclusive remedy under the Rehabilitation Act, </w:t>
      </w:r>
      <w:r>
        <w:rPr>
          <w:rFonts w:ascii="Arial" w:eastAsia="Arial" w:hAnsi="Arial" w:cs="Arial"/>
          <w:color w:val="000000"/>
        </w:rPr>
        <w:lastRenderedPageBreak/>
        <w:t>a former employee cannot maintai</w:t>
      </w:r>
      <w:r>
        <w:rPr>
          <w:rFonts w:ascii="Arial" w:eastAsia="Arial" w:hAnsi="Arial" w:cs="Arial"/>
          <w:color w:val="000000"/>
        </w:rPr>
        <w:t>n an action under the Florida Civil Rights Act for workplace discrimination based on disability.</w:t>
      </w:r>
      <w:r>
        <w:rPr>
          <w:rFonts w:ascii="Arial" w:eastAsia="Arial" w:hAnsi="Arial" w:cs="Arial"/>
          <w:vertAlign w:val="superscript"/>
        </w:rPr>
        <w:footnoteReference w:customMarkFollows="1" w:id="27"/>
        <w:t>n25</w:t>
      </w:r>
    </w:p>
    <w:p w:rsidR="007A6EB4" w:rsidRDefault="006F3363">
      <w:pPr>
        <w:spacing w:before="200" w:line="300" w:lineRule="atLeast"/>
        <w:jc w:val="both"/>
      </w:pPr>
      <w:r>
        <w:rPr>
          <w:rFonts w:ascii="Arial" w:eastAsia="Arial" w:hAnsi="Arial" w:cs="Arial"/>
          <w:color w:val="000000"/>
        </w:rPr>
        <w:t>Observation: Florida courts must conform their rulings respecting the award of attorney's fees under the Florida Civil Rights Act to federal case law interp</w:t>
      </w:r>
      <w:r>
        <w:rPr>
          <w:rFonts w:ascii="Arial" w:eastAsia="Arial" w:hAnsi="Arial" w:cs="Arial"/>
          <w:color w:val="000000"/>
        </w:rPr>
        <w:t>retations of Title VII attorney's fees actions, since federal court constructions of Title VII are, by definition, harmonious with the spirit of the Florida legislation.</w:t>
      </w:r>
      <w:r>
        <w:rPr>
          <w:rFonts w:ascii="Arial" w:eastAsia="Arial" w:hAnsi="Arial" w:cs="Arial"/>
          <w:vertAlign w:val="superscript"/>
        </w:rPr>
        <w:footnoteReference w:customMarkFollows="1" w:id="28"/>
        <w:t>n26</w:t>
      </w:r>
      <w:r>
        <w:rPr>
          <w:rFonts w:ascii="Arial" w:eastAsia="Arial" w:hAnsi="Arial" w:cs="Arial"/>
          <w:color w:val="000000"/>
        </w:rPr>
        <w:t xml:space="preserve"> However, the Florida Civil Rights Act does not in any way adopt, incorporate, or re</w:t>
      </w:r>
      <w:r>
        <w:rPr>
          <w:rFonts w:ascii="Arial" w:eastAsia="Arial" w:hAnsi="Arial" w:cs="Arial"/>
          <w:color w:val="000000"/>
        </w:rPr>
        <w:t>quire the application of federal law to a determination of what costs may be awarded, and therefore, the award of costs is governed by Florida law on the subject.</w:t>
      </w:r>
      <w:r>
        <w:rPr>
          <w:rFonts w:ascii="Arial" w:eastAsia="Arial" w:hAnsi="Arial" w:cs="Arial"/>
          <w:vertAlign w:val="superscript"/>
        </w:rPr>
        <w:footnoteReference w:customMarkFollows="1" w:id="29"/>
        <w:t>n27</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39" style="position:absolute;z-index:25175244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[westkey]1001, 1105, 1147, 1224, </w:t>
      </w:r>
      <w:r>
        <w:rPr>
          <w:rFonts w:ascii="Arial" w:eastAsia="Arial" w:hAnsi="Arial" w:cs="Arial"/>
          <w:color w:val="000000"/>
        </w:rPr>
        <w:t>1373, 1376(1), 1376(3), 1376(4), 1376(9), 1376(10), 1701, 1702, 1707, 1709 to 1721, 1735, 1746, 1764 to 1774, 1807, 1808</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t>West's Key Number Digest, Courts [westkey]97(5)</w:t>
      </w:r>
    </w:p>
    <w:p w:rsidR="007A6EB4" w:rsidRDefault="006F3363">
      <w:pPr>
        <w:spacing w:before="120" w:line="300" w:lineRule="atLeast"/>
      </w:pPr>
      <w:r>
        <w:rPr>
          <w:rFonts w:ascii="Arial" w:eastAsia="Arial" w:hAnsi="Arial" w:cs="Arial"/>
          <w:color w:val="000000"/>
        </w:rPr>
        <w:t>West's Key Number Di</w:t>
      </w:r>
      <w:r>
        <w:rPr>
          <w:rFonts w:ascii="Arial" w:eastAsia="Arial" w:hAnsi="Arial" w:cs="Arial"/>
          <w:color w:val="000000"/>
        </w:rPr>
        <w:t>gest, States [westkey]191.9(1)</w:t>
      </w:r>
    </w:p>
    <w:p w:rsidR="007A6EB4" w:rsidRDefault="006F3363">
      <w:pPr>
        <w:spacing w:before="120" w:line="300" w:lineRule="atLeast"/>
      </w:pPr>
      <w:r>
        <w:rPr>
          <w:rFonts w:ascii="Arial" w:eastAsia="Arial" w:hAnsi="Arial" w:cs="Arial"/>
          <w:color w:val="000000"/>
        </w:rPr>
        <w:t>West's Key Number Digest, Statutes [westkey]226</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[westkey]1001, 1105, 1147, 1224, 1373, 1376(1), 1376(3), 137</w:t>
      </w:r>
      <w:r>
        <w:rPr>
          <w:rFonts w:ascii="Arial" w:eastAsia="Arial" w:hAnsi="Arial" w:cs="Arial"/>
          <w:color w:val="000000"/>
        </w:rPr>
        <w:t>6(4), 1376(9), 1376(10), 1701, 1702, 1707, 1709 to 1721, 1735, 1746, 1764 to 1774, 1807, 1808</w:t>
      </w:r>
    </w:p>
    <w:p w:rsidR="007A6EB4" w:rsidRDefault="006F3363">
      <w:pPr>
        <w:spacing w:before="120" w:line="300" w:lineRule="atLeast"/>
      </w:pPr>
      <w:r>
        <w:rPr>
          <w:rFonts w:ascii="Arial" w:eastAsia="Arial" w:hAnsi="Arial" w:cs="Arial"/>
          <w:color w:val="000000"/>
        </w:rPr>
        <w:t>West's A.L.R. Digest, Constitutional Law [westkey]1065 to 1129</w:t>
      </w:r>
    </w:p>
    <w:p w:rsidR="007A6EB4" w:rsidRDefault="006F3363">
      <w:pPr>
        <w:spacing w:before="120" w:line="300" w:lineRule="atLeast"/>
      </w:pPr>
      <w:r>
        <w:rPr>
          <w:rFonts w:ascii="Arial" w:eastAsia="Arial" w:hAnsi="Arial" w:cs="Arial"/>
          <w:color w:val="000000"/>
        </w:rPr>
        <w:t>West's A.L.R. Digest, Courts [westkey]97(5)</w:t>
      </w:r>
    </w:p>
    <w:p w:rsidR="007A6EB4" w:rsidRDefault="006F3363">
      <w:pPr>
        <w:spacing w:before="120" w:line="300" w:lineRule="atLeast"/>
      </w:pPr>
      <w:r>
        <w:rPr>
          <w:rFonts w:ascii="Arial" w:eastAsia="Arial" w:hAnsi="Arial" w:cs="Arial"/>
          <w:color w:val="000000"/>
        </w:rPr>
        <w:t>West's A.L.R. Digest, States [westkey]191.9(1)</w:t>
      </w:r>
    </w:p>
    <w:p w:rsidR="007A6EB4" w:rsidRDefault="006F3363">
      <w:pPr>
        <w:spacing w:before="120" w:line="300" w:lineRule="atLeast"/>
      </w:pPr>
      <w:r>
        <w:rPr>
          <w:rFonts w:ascii="Arial" w:eastAsia="Arial" w:hAnsi="Arial" w:cs="Arial"/>
          <w:color w:val="000000"/>
        </w:rPr>
        <w:t>West's A</w:t>
      </w:r>
      <w:r>
        <w:rPr>
          <w:rFonts w:ascii="Arial" w:eastAsia="Arial" w:hAnsi="Arial" w:cs="Arial"/>
          <w:color w:val="000000"/>
        </w:rPr>
        <w:t>.L.R. Digest, Statutes [westkey]226</w:t>
      </w:r>
    </w:p>
    <w:p w:rsidR="007A6EB4" w:rsidRDefault="006F3363">
      <w:pPr>
        <w:spacing w:before="120" w:line="300" w:lineRule="atLeast"/>
      </w:pPr>
      <w:r>
        <w:rPr>
          <w:rFonts w:ascii="Arial" w:eastAsia="Arial" w:hAnsi="Arial" w:cs="Arial"/>
          <w:color w:val="000000"/>
        </w:rPr>
        <w:t>Am. Jur. 2d, Civil Rights §§ 1 to 18</w:t>
      </w:r>
    </w:p>
    <w:p w:rsidR="007A6EB4" w:rsidRDefault="006F3363">
      <w:pPr>
        <w:spacing w:before="120" w:line="300" w:lineRule="atLeast"/>
      </w:pPr>
      <w:r>
        <w:rPr>
          <w:rFonts w:ascii="Arial" w:eastAsia="Arial" w:hAnsi="Arial" w:cs="Arial"/>
          <w:color w:val="000000"/>
        </w:rPr>
        <w:t>C.J.S., Civil Rights §§ 1 to 23</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West's Key Number Digest, Civil Rights [westkey]1105, 1147, 1224, 1701, 1702</w:t>
      </w:r>
      <w:r>
        <w:rPr>
          <w:rFonts w:ascii="Arial" w:eastAsia="Arial" w:hAnsi="Arial" w:cs="Arial"/>
          <w:color w:val="000000"/>
        </w:rPr>
        <w:t>, 1719</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lastRenderedPageBreak/>
        <w:t>West's Key Number Digest, Courts [westkey]97(5)</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Rosenthal, Adding Insult to No Injury: The Denial of Attorn</w:t>
      </w:r>
      <w:r>
        <w:rPr>
          <w:rFonts w:ascii="Arial" w:eastAsia="Arial" w:hAnsi="Arial" w:cs="Arial"/>
          <w:color w:val="000000"/>
        </w:rPr>
        <w:t>ey's Fees to "Victorious" Employment Discrimination and Other Civil Rights Plaintiffs, 37 Fla. St. U. L. Rev. 49 (2009)</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40" style="position:absolute;z-index:25179852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Decisions construing Title VII guide analysis under Florida Civil Rights Act (FCRA). Civil Rights Act of 1964, § </w:t>
      </w:r>
      <w:r>
        <w:rPr>
          <w:rFonts w:ascii="Arial" w:eastAsia="Arial" w:hAnsi="Arial" w:cs="Arial"/>
          <w:color w:val="000000"/>
        </w:rPr>
        <w:t>701 et seq., 42 U.S.C.A. § 2000e et seq.; West's F.S.A. § 760.01 et seq. Holland v. Gee, 114 Fair Empl. Prac. Cas. (BNA) 1449, 95 Empl. Prac. Dec. (CCH) P 44489, 2012 WL 1292342 (11th Cir. 2012).</w:t>
      </w:r>
    </w:p>
    <w:p w:rsidR="007A6EB4" w:rsidRDefault="006F3363">
      <w:pPr>
        <w:spacing w:before="200" w:line="300" w:lineRule="atLeast"/>
        <w:jc w:val="both"/>
      </w:pPr>
      <w:r>
        <w:rPr>
          <w:rFonts w:ascii="Arial" w:eastAsia="Arial" w:hAnsi="Arial" w:cs="Arial"/>
          <w:color w:val="000000"/>
        </w:rPr>
        <w:t>Driver, who was arrested for driving under the influence (DU</w:t>
      </w:r>
      <w:r>
        <w:rPr>
          <w:rFonts w:ascii="Arial" w:eastAsia="Arial" w:hAnsi="Arial" w:cs="Arial"/>
          <w:color w:val="000000"/>
        </w:rPr>
        <w:t>I) and enrolled in DUI school that was licensed by the Florida Department of Highway Safety and Motor Vehicles in order to get his driver's license reinstated, failed to allege that the Department's executive director, or the Department through the princip</w:t>
      </w:r>
      <w:r>
        <w:rPr>
          <w:rFonts w:ascii="Arial" w:eastAsia="Arial" w:hAnsi="Arial" w:cs="Arial"/>
          <w:color w:val="000000"/>
        </w:rPr>
        <w:t>le of respondeat superior, was deliberately indifferent to any alleged disability discrimination on school's part, as required to state claim for compensatory damages under the Rehabilitation Act; driver alleged that director failed to investigate his comp</w:t>
      </w:r>
      <w:r>
        <w:rPr>
          <w:rFonts w:ascii="Arial" w:eastAsia="Arial" w:hAnsi="Arial" w:cs="Arial"/>
          <w:color w:val="000000"/>
        </w:rPr>
        <w:t>laints, but he did not allege that director was on notice of any previous discriminatory acts by school or the department, or that the school was potentially noncompliant with the ADA. Rehabilitation Act of 1973, § 504, 29 U.S.C.A. § 794; Americans with Di</w:t>
      </w:r>
      <w:r>
        <w:rPr>
          <w:rFonts w:ascii="Arial" w:eastAsia="Arial" w:hAnsi="Arial" w:cs="Arial"/>
          <w:color w:val="000000"/>
        </w:rPr>
        <w:t>sabilities Act of 1990, § 2 et seq., 42 U.S.C.A. § 12101 et seq. Wendel v. Florida Dept. of Highway Safety and Motor Vehicles, 80 F. Supp. 3d 1297 (M.D. Fla. 2015).</w:t>
      </w:r>
    </w:p>
    <w:p w:rsidR="007A6EB4" w:rsidRDefault="006F3363">
      <w:pPr>
        <w:spacing w:before="200" w:line="300" w:lineRule="atLeast"/>
        <w:jc w:val="both"/>
      </w:pPr>
      <w:r>
        <w:rPr>
          <w:rFonts w:ascii="Arial" w:eastAsia="Arial" w:hAnsi="Arial" w:cs="Arial"/>
          <w:color w:val="000000"/>
        </w:rPr>
        <w:t>Federal case law interpreting Title VII and the ADEA is applicable to cases arising under t</w:t>
      </w:r>
      <w:r>
        <w:rPr>
          <w:rFonts w:ascii="Arial" w:eastAsia="Arial" w:hAnsi="Arial" w:cs="Arial"/>
          <w:color w:val="000000"/>
        </w:rPr>
        <w:t>he Florida Civil Rights Act (FCRA). Age Discrimination in Employment Act of 1967, § 4(a)(1), 29 U.S.C.A. § 623(a)(1); Civil Rights Act of 1964, § 703(a)(1), 42 U.S.C.A. § 2000e-2(a)(1); West's F.S.A. § 760.10(1)(a). Margolis v. Public Health Trust of Miami</w:t>
      </w:r>
      <w:r>
        <w:rPr>
          <w:rFonts w:ascii="Arial" w:eastAsia="Arial" w:hAnsi="Arial" w:cs="Arial"/>
          <w:color w:val="000000"/>
        </w:rPr>
        <w:t>-Dade County, 89 F. Supp. 3d 1343 (S.D. Fla. 2015).</w:t>
      </w:r>
    </w:p>
    <w:p w:rsidR="007A6EB4" w:rsidRDefault="006F3363">
      <w:pPr>
        <w:spacing w:before="200" w:line="300" w:lineRule="atLeast"/>
        <w:jc w:val="both"/>
      </w:pPr>
      <w:r>
        <w:rPr>
          <w:rFonts w:ascii="Arial" w:eastAsia="Arial" w:hAnsi="Arial" w:cs="Arial"/>
          <w:color w:val="000000"/>
        </w:rPr>
        <w:t>Plausibility pleading standards apply to private civil actions brought in federal court pursuant to Florida's Bill of Rights of Persons with Developmental Disabilities. West's F.S.A. § 393.13. Woodburn v.</w:t>
      </w:r>
      <w:r>
        <w:rPr>
          <w:rFonts w:ascii="Arial" w:eastAsia="Arial" w:hAnsi="Arial" w:cs="Arial"/>
          <w:color w:val="000000"/>
        </w:rPr>
        <w:t xml:space="preserve"> State of Florida Dept. of Children and Family Services, 854 F. Supp. 2d 1184 (S.D. Fla. 2011).</w:t>
      </w:r>
    </w:p>
    <w:p w:rsidR="007A6EB4" w:rsidRDefault="006F3363">
      <w:pPr>
        <w:spacing w:before="200" w:line="300" w:lineRule="atLeast"/>
        <w:jc w:val="both"/>
      </w:pPr>
      <w:r>
        <w:rPr>
          <w:rFonts w:ascii="Arial" w:eastAsia="Arial" w:hAnsi="Arial" w:cs="Arial"/>
          <w:color w:val="000000"/>
        </w:rPr>
        <w:t xml:space="preserve">Because the Florida Civil Rights Act (FCRA) is nearly identical to the Americans With Disabilities Act (ADA), federal law interpreting the ADA is applicable to </w:t>
      </w:r>
      <w:r>
        <w:rPr>
          <w:rFonts w:ascii="Arial" w:eastAsia="Arial" w:hAnsi="Arial" w:cs="Arial"/>
          <w:color w:val="000000"/>
        </w:rPr>
        <w:t>claims arising under the FCRA and vice versa. Americans with Disabilities Act of 1990, § 2 et seq., 42 U.S.C.A. § 12101 et seq.; West's F.S.A. § 760.01 et seq. Carper v. TWC Services, Inc., 820 F. Supp. 2d 1339 (S.D. Fla. 2011).</w:t>
      </w:r>
    </w:p>
    <w:p w:rsidR="007A6EB4" w:rsidRDefault="006F3363">
      <w:pPr>
        <w:spacing w:before="200" w:line="300" w:lineRule="atLeast"/>
        <w:jc w:val="both"/>
      </w:pPr>
      <w:r>
        <w:rPr>
          <w:rFonts w:ascii="Arial" w:eastAsia="Arial" w:hAnsi="Arial" w:cs="Arial"/>
          <w:color w:val="000000"/>
        </w:rPr>
        <w:t>Americans with Disabilities</w:t>
      </w:r>
      <w:r>
        <w:rPr>
          <w:rFonts w:ascii="Arial" w:eastAsia="Arial" w:hAnsi="Arial" w:cs="Arial"/>
          <w:color w:val="000000"/>
        </w:rPr>
        <w:t xml:space="preserve"> Act (ADA) reasonable accommodation claim pattern jury instruction published by federal Court of Appeals was appropriate basis for jury instructions given in former </w:t>
      </w:r>
      <w:r>
        <w:rPr>
          <w:rFonts w:ascii="Arial" w:eastAsia="Arial" w:hAnsi="Arial" w:cs="Arial"/>
          <w:color w:val="000000"/>
        </w:rPr>
        <w:lastRenderedPageBreak/>
        <w:t xml:space="preserve">city employee's disability discrimination action under Florida Civil Rights Act (FCRA); it </w:t>
      </w:r>
      <w:r>
        <w:rPr>
          <w:rFonts w:ascii="Arial" w:eastAsia="Arial" w:hAnsi="Arial" w:cs="Arial"/>
          <w:color w:val="000000"/>
        </w:rPr>
        <w:t>was appropriate for the court to look to the federal ADA jury instructions for guidance on employee's FCRA claim, and instruction fairly stated the applicable law. Americans with Disabilities Act of 1990, § 2 et seq., 42 U.S.C.A. § 12101 et seq.; West's F.</w:t>
      </w:r>
      <w:r>
        <w:rPr>
          <w:rFonts w:ascii="Arial" w:eastAsia="Arial" w:hAnsi="Arial" w:cs="Arial"/>
          <w:color w:val="000000"/>
        </w:rPr>
        <w:t>S.A. § 760.10(1)(a). City of Delray Beach v. DeSisto, 197 So. 3d 1206 (Fla. 4th DCA 2016).</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41" style="position:absolute;left:0;text-align:left;z-index:25184358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5"/>
          <w:headerReference w:type="default" r:id="rId26"/>
          <w:footerReference w:type="even" r:id="rId27"/>
          <w:footerReference w:type="default" r:id="rId28"/>
          <w:headerReference w:type="first" r:id="rId29"/>
          <w:footerReference w:type="first" r:id="rId30"/>
          <w:pgSz w:w="12240" w:h="15840"/>
          <w:pgMar w:top="840" w:right="1000" w:bottom="840" w:left="1000" w:header="400" w:footer="400" w:gutter="0"/>
          <w:cols w:space="720"/>
          <w:titlePg/>
        </w:sectPr>
      </w:pPr>
    </w:p>
    <w:p w:rsidR="007A6EB4" w:rsidRDefault="007A6EB4">
      <w:bookmarkStart w:id="4" w:name="Bookmark_4"/>
      <w:bookmarkEnd w:id="4"/>
    </w:p>
    <w:p w:rsidR="007A6EB4" w:rsidRDefault="006F3363">
      <w:r>
        <w:pict>
          <v:shape id="_x0000_i1028"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A. Overview</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43" style="position:absolute;z-index:25166131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 State civil-rights actions, generally</w:t>
      </w:r>
    </w:p>
    <w:p w:rsidR="007A6EB4" w:rsidRDefault="006F3363">
      <w:pPr>
        <w:spacing w:line="60" w:lineRule="exact"/>
      </w:pPr>
      <w:r>
        <w:pict>
          <v:line id="_x0000_s1044" style="position:absolute;z-index:25170739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Under the Florida Civil </w:t>
      </w:r>
      <w:r>
        <w:rPr>
          <w:rFonts w:ascii="Arial" w:eastAsia="Arial" w:hAnsi="Arial" w:cs="Arial"/>
          <w:color w:val="000000"/>
        </w:rPr>
        <w:t xml:space="preserve">Rights Act, any violation of any Florida statute making unlawful discrimination because of race, color, religion, gender, national origin, age, handicap, or marital status in the areas of education, employment, housing, or public accommodations gives rise </w:t>
      </w:r>
      <w:r>
        <w:rPr>
          <w:rFonts w:ascii="Arial" w:eastAsia="Arial" w:hAnsi="Arial" w:cs="Arial"/>
          <w:color w:val="000000"/>
        </w:rPr>
        <w:t>to a cause of action for all relief and damages described by statute unless greater damages are expressly provided for.</w:t>
      </w:r>
      <w:r>
        <w:rPr>
          <w:rFonts w:ascii="Arial" w:eastAsia="Arial" w:hAnsi="Arial" w:cs="Arial"/>
          <w:vertAlign w:val="superscript"/>
        </w:rPr>
        <w:footnoteReference w:customMarkFollows="1" w:id="30"/>
        <w:t>n1</w:t>
      </w:r>
      <w:r>
        <w:rPr>
          <w:rFonts w:ascii="Arial" w:eastAsia="Arial" w:hAnsi="Arial" w:cs="Arial"/>
          <w:color w:val="000000"/>
        </w:rPr>
        <w:t xml:space="preserve"> If the statute prohibiting unlawful discrimination provides an administrative remedy, an action for equitable relief and damages may b</w:t>
      </w:r>
      <w:r>
        <w:rPr>
          <w:rFonts w:ascii="Arial" w:eastAsia="Arial" w:hAnsi="Arial" w:cs="Arial"/>
          <w:color w:val="000000"/>
        </w:rPr>
        <w:t>e initiated only after the plaintiff has exhausted his or her administrative remedy.</w:t>
      </w:r>
      <w:r>
        <w:rPr>
          <w:rFonts w:ascii="Arial" w:eastAsia="Arial" w:hAnsi="Arial" w:cs="Arial"/>
          <w:vertAlign w:val="superscript"/>
        </w:rPr>
        <w:footnoteReference w:customMarkFollows="1" w:id="31"/>
        <w:t>n2</w:t>
      </w:r>
      <w:r>
        <w:rPr>
          <w:rFonts w:ascii="Arial" w:eastAsia="Arial" w:hAnsi="Arial" w:cs="Arial"/>
          <w:color w:val="000000"/>
        </w:rPr>
        <w:t xml:space="preserve"> The right to trial by jury is preserved in any case in which the plaintiff is seeking actual or punitive damages.</w:t>
      </w:r>
      <w:r>
        <w:rPr>
          <w:rFonts w:ascii="Arial" w:eastAsia="Arial" w:hAnsi="Arial" w:cs="Arial"/>
          <w:vertAlign w:val="superscript"/>
        </w:rPr>
        <w:footnoteReference w:customMarkFollows="1" w:id="32"/>
        <w:t>n3</w:t>
      </w:r>
    </w:p>
    <w:p w:rsidR="007A6EB4" w:rsidRDefault="006F3363">
      <w:pPr>
        <w:spacing w:before="200" w:line="300" w:lineRule="atLeast"/>
        <w:jc w:val="both"/>
      </w:pPr>
      <w:r>
        <w:rPr>
          <w:rFonts w:ascii="Arial" w:eastAsia="Arial" w:hAnsi="Arial" w:cs="Arial"/>
          <w:color w:val="000000"/>
        </w:rPr>
        <w:t xml:space="preserve">The Attorney General may commence a civil action for </w:t>
      </w:r>
      <w:r>
        <w:rPr>
          <w:rFonts w:ascii="Arial" w:eastAsia="Arial" w:hAnsi="Arial" w:cs="Arial"/>
          <w:color w:val="000000"/>
        </w:rPr>
        <w:t>damages, injunctive relief, civil penalties not to exceed a stated amount per violation, and such other relief as may be appropriate under the laws of Florida if the Attorney General has reasonable cause to believe that any person or group: (1) has engaged</w:t>
      </w:r>
      <w:r>
        <w:rPr>
          <w:rFonts w:ascii="Arial" w:eastAsia="Arial" w:hAnsi="Arial" w:cs="Arial"/>
          <w:color w:val="000000"/>
        </w:rPr>
        <w:t xml:space="preserve"> in a pattern or practice of discrimination as defined by state law or (2) has been discriminated against as defined by state law, and such discrimination raises an issue of great public interest.</w:t>
      </w:r>
      <w:r>
        <w:rPr>
          <w:rFonts w:ascii="Arial" w:eastAsia="Arial" w:hAnsi="Arial" w:cs="Arial"/>
          <w:vertAlign w:val="superscript"/>
        </w:rPr>
        <w:footnoteReference w:customMarkFollows="1" w:id="33"/>
        <w:t>n4</w:t>
      </w:r>
      <w:r>
        <w:rPr>
          <w:rFonts w:ascii="Arial" w:eastAsia="Arial" w:hAnsi="Arial" w:cs="Arial"/>
          <w:color w:val="000000"/>
        </w:rPr>
        <w:t xml:space="preserve"> The Attorney General may file such an action in the circu</w:t>
      </w:r>
      <w:r>
        <w:rPr>
          <w:rFonts w:ascii="Arial" w:eastAsia="Arial" w:hAnsi="Arial" w:cs="Arial"/>
          <w:color w:val="000000"/>
        </w:rPr>
        <w:t>it court of the county where the cause of action arises or in the circuit court of the Second Judicial Circuit in and for Leon County.</w:t>
      </w:r>
      <w:r>
        <w:rPr>
          <w:rFonts w:ascii="Arial" w:eastAsia="Arial" w:hAnsi="Arial" w:cs="Arial"/>
          <w:vertAlign w:val="superscript"/>
        </w:rPr>
        <w:footnoteReference w:customMarkFollows="1" w:id="34"/>
        <w:t>n5</w:t>
      </w:r>
      <w:r>
        <w:rPr>
          <w:rFonts w:ascii="Arial" w:eastAsia="Arial" w:hAnsi="Arial" w:cs="Arial"/>
          <w:color w:val="000000"/>
        </w:rPr>
        <w:t xml:space="preserve"> In any such proceeding, the respondent may request, before any responsive pleading is due, that a hearing be held no ea</w:t>
      </w:r>
      <w:r>
        <w:rPr>
          <w:rFonts w:ascii="Arial" w:eastAsia="Arial" w:hAnsi="Arial" w:cs="Arial"/>
          <w:color w:val="000000"/>
        </w:rPr>
        <w:t xml:space="preserve">rlier than five days but no more than 30 days after the filing of the complaint, at which hearing the court must determine whether the </w:t>
      </w:r>
      <w:r>
        <w:rPr>
          <w:rFonts w:ascii="Arial" w:eastAsia="Arial" w:hAnsi="Arial" w:cs="Arial"/>
          <w:color w:val="000000"/>
        </w:rPr>
        <w:lastRenderedPageBreak/>
        <w:t>complaint on its face makes a prima facie showing that a pattern or practice of discrimination exists or that, as a resul</w:t>
      </w:r>
      <w:r>
        <w:rPr>
          <w:rFonts w:ascii="Arial" w:eastAsia="Arial" w:hAnsi="Arial" w:cs="Arial"/>
          <w:color w:val="000000"/>
        </w:rPr>
        <w:t>t of discrimination, an issue of great public interest exists.</w:t>
      </w:r>
      <w:r>
        <w:rPr>
          <w:rFonts w:ascii="Arial" w:eastAsia="Arial" w:hAnsi="Arial" w:cs="Arial"/>
          <w:vertAlign w:val="superscript"/>
        </w:rPr>
        <w:footnoteReference w:customMarkFollows="1" w:id="35"/>
        <w:t>n6</w:t>
      </w:r>
      <w:r>
        <w:rPr>
          <w:rFonts w:ascii="Arial" w:eastAsia="Arial" w:hAnsi="Arial" w:cs="Arial"/>
          <w:color w:val="000000"/>
        </w:rPr>
        <w:t xml:space="preserve"> The prevailing party is entitled to an award of reasonable attorney's fees and costs;</w:t>
      </w:r>
      <w:r>
        <w:rPr>
          <w:rFonts w:ascii="Arial" w:eastAsia="Arial" w:hAnsi="Arial" w:cs="Arial"/>
          <w:vertAlign w:val="superscript"/>
        </w:rPr>
        <w:footnoteReference w:customMarkFollows="1" w:id="36"/>
        <w:t>n7</w:t>
      </w:r>
      <w:r>
        <w:rPr>
          <w:rFonts w:ascii="Arial" w:eastAsia="Arial" w:hAnsi="Arial" w:cs="Arial"/>
          <w:color w:val="000000"/>
        </w:rPr>
        <w:t xml:space="preserve"> any damages recovered accrue to the injured party.</w:t>
      </w:r>
      <w:r>
        <w:rPr>
          <w:rFonts w:ascii="Arial" w:eastAsia="Arial" w:hAnsi="Arial" w:cs="Arial"/>
          <w:vertAlign w:val="superscript"/>
        </w:rPr>
        <w:footnoteReference w:customMarkFollows="1" w:id="37"/>
        <w:t>n8</w:t>
      </w:r>
    </w:p>
    <w:p w:rsidR="007A6EB4" w:rsidRDefault="006F3363">
      <w:pPr>
        <w:spacing w:before="200" w:line="300" w:lineRule="atLeast"/>
        <w:jc w:val="both"/>
      </w:pPr>
      <w:r>
        <w:rPr>
          <w:rFonts w:ascii="Arial" w:eastAsia="Arial" w:hAnsi="Arial" w:cs="Arial"/>
          <w:color w:val="000000"/>
        </w:rPr>
        <w:t>In addition, the Attorney General may bring a civi</w:t>
      </w:r>
      <w:r>
        <w:rPr>
          <w:rFonts w:ascii="Arial" w:eastAsia="Arial" w:hAnsi="Arial" w:cs="Arial"/>
          <w:color w:val="000000"/>
        </w:rPr>
        <w:t>l or administrative action against a person who interferes by threats, intimidation, coercion, or attempts to do so with the exercise or enjoyment by another person of rights secured by the constitution or laws of Florida, whether done under color of law o</w:t>
      </w:r>
      <w:r>
        <w:rPr>
          <w:rFonts w:ascii="Arial" w:eastAsia="Arial" w:hAnsi="Arial" w:cs="Arial"/>
          <w:color w:val="000000"/>
        </w:rPr>
        <w:t>r not, and the Attorney General may obtain damages for the benefit of the victim, injunctive or other appropriate relief, and a civil penalty up to a stated sum.</w:t>
      </w:r>
      <w:r>
        <w:rPr>
          <w:rFonts w:ascii="Arial" w:eastAsia="Arial" w:hAnsi="Arial" w:cs="Arial"/>
          <w:vertAlign w:val="superscript"/>
        </w:rPr>
        <w:footnoteReference w:customMarkFollows="1" w:id="38"/>
        <w:t>n9</w:t>
      </w:r>
    </w:p>
    <w:p w:rsidR="007A6EB4" w:rsidRDefault="006F3363">
      <w:pPr>
        <w:spacing w:before="200" w:line="300" w:lineRule="atLeast"/>
        <w:jc w:val="both"/>
      </w:pPr>
      <w:r>
        <w:rPr>
          <w:rFonts w:ascii="Arial" w:eastAsia="Arial" w:hAnsi="Arial" w:cs="Arial"/>
          <w:color w:val="000000"/>
        </w:rPr>
        <w:t>The Florida Civil Rights Act is a stand-alone statutory scheme specifically designed to addr</w:t>
      </w:r>
      <w:r>
        <w:rPr>
          <w:rFonts w:ascii="Arial" w:eastAsia="Arial" w:hAnsi="Arial" w:cs="Arial"/>
          <w:color w:val="000000"/>
        </w:rPr>
        <w:t>ess civil-rights violations regardless of whether the State is a named defendant.</w:t>
      </w:r>
      <w:r>
        <w:rPr>
          <w:rFonts w:ascii="Arial" w:eastAsia="Arial" w:hAnsi="Arial" w:cs="Arial"/>
          <w:vertAlign w:val="superscript"/>
        </w:rPr>
        <w:footnoteReference w:customMarkFollows="1" w:id="39"/>
        <w:t>n10</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45" style="position:absolute;z-index:25175347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[westkey]1001, 1105, 1147, 1224, 1373, 1376(1), 1376(3), 1376(4), 1376(9), 1376(10), 1701, 1702, 1707, 1709 to 1721, 1</w:t>
      </w:r>
      <w:r>
        <w:rPr>
          <w:rFonts w:ascii="Arial" w:eastAsia="Arial" w:hAnsi="Arial" w:cs="Arial"/>
          <w:color w:val="000000"/>
        </w:rPr>
        <w:t>735, 1746, 1764 to 1774, 1807, 1808</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t>West's Key Number Digest, Courts [westkey]97(5)</w:t>
      </w:r>
    </w:p>
    <w:p w:rsidR="007A6EB4" w:rsidRDefault="006F3363">
      <w:pPr>
        <w:spacing w:before="120" w:line="300" w:lineRule="atLeast"/>
      </w:pPr>
      <w:r>
        <w:rPr>
          <w:rFonts w:ascii="Arial" w:eastAsia="Arial" w:hAnsi="Arial" w:cs="Arial"/>
          <w:color w:val="000000"/>
        </w:rPr>
        <w:t>West's Key Number Digest, States [westkey]191.9(1)</w:t>
      </w:r>
    </w:p>
    <w:p w:rsidR="007A6EB4" w:rsidRDefault="006F3363">
      <w:pPr>
        <w:spacing w:before="120" w:line="300" w:lineRule="atLeast"/>
      </w:pPr>
      <w:r>
        <w:rPr>
          <w:rFonts w:ascii="Arial" w:eastAsia="Arial" w:hAnsi="Arial" w:cs="Arial"/>
          <w:color w:val="000000"/>
        </w:rPr>
        <w:t xml:space="preserve">West's Key Number Digest, Statutes </w:t>
      </w:r>
      <w:r>
        <w:rPr>
          <w:rFonts w:ascii="Arial" w:eastAsia="Arial" w:hAnsi="Arial" w:cs="Arial"/>
          <w:color w:val="000000"/>
        </w:rPr>
        <w:t>[westkey]226</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[westkey]1001, 1105, 1147, 1224, 1373, 1376(1), 1376(3), 1376(4), 1376(9), 1376(10), 1701, 1702, 1707, 1709 to 1721, 1735, 174</w:t>
      </w:r>
      <w:r>
        <w:rPr>
          <w:rFonts w:ascii="Arial" w:eastAsia="Arial" w:hAnsi="Arial" w:cs="Arial"/>
          <w:color w:val="000000"/>
        </w:rPr>
        <w:t>6, 1764 to 1774, 1807, 1808</w:t>
      </w:r>
    </w:p>
    <w:p w:rsidR="007A6EB4" w:rsidRDefault="006F3363">
      <w:pPr>
        <w:spacing w:before="120" w:line="300" w:lineRule="atLeast"/>
      </w:pPr>
      <w:r>
        <w:rPr>
          <w:rFonts w:ascii="Arial" w:eastAsia="Arial" w:hAnsi="Arial" w:cs="Arial"/>
          <w:color w:val="000000"/>
        </w:rPr>
        <w:t>West's A.L.R. Digest, Constitutional Law [westkey]1065 to 1129</w:t>
      </w:r>
    </w:p>
    <w:p w:rsidR="007A6EB4" w:rsidRDefault="006F3363">
      <w:pPr>
        <w:spacing w:before="120" w:line="300" w:lineRule="atLeast"/>
      </w:pPr>
      <w:r>
        <w:rPr>
          <w:rFonts w:ascii="Arial" w:eastAsia="Arial" w:hAnsi="Arial" w:cs="Arial"/>
          <w:color w:val="000000"/>
        </w:rPr>
        <w:t>West's A.L.R. Digest, Courts [westkey]97(5)</w:t>
      </w:r>
    </w:p>
    <w:p w:rsidR="007A6EB4" w:rsidRDefault="006F3363">
      <w:pPr>
        <w:spacing w:before="120" w:line="300" w:lineRule="atLeast"/>
      </w:pPr>
      <w:r>
        <w:rPr>
          <w:rFonts w:ascii="Arial" w:eastAsia="Arial" w:hAnsi="Arial" w:cs="Arial"/>
          <w:color w:val="000000"/>
        </w:rPr>
        <w:t>West's A.L.R. Digest, States [westkey]191.9(1)</w:t>
      </w:r>
    </w:p>
    <w:p w:rsidR="007A6EB4" w:rsidRDefault="006F3363">
      <w:pPr>
        <w:spacing w:before="120" w:line="300" w:lineRule="atLeast"/>
      </w:pPr>
      <w:r>
        <w:rPr>
          <w:rFonts w:ascii="Arial" w:eastAsia="Arial" w:hAnsi="Arial" w:cs="Arial"/>
          <w:color w:val="000000"/>
        </w:rPr>
        <w:t>West's A.L.R. Digest, Statutes [westkey]226</w:t>
      </w:r>
    </w:p>
    <w:p w:rsidR="007A6EB4" w:rsidRDefault="006F3363">
      <w:pPr>
        <w:spacing w:before="120" w:line="300" w:lineRule="atLeast"/>
      </w:pPr>
      <w:r>
        <w:rPr>
          <w:rFonts w:ascii="Arial" w:eastAsia="Arial" w:hAnsi="Arial" w:cs="Arial"/>
          <w:color w:val="000000"/>
        </w:rPr>
        <w:t>Am. Jur. 2d, Civil Rights §§ 1</w:t>
      </w:r>
      <w:r>
        <w:rPr>
          <w:rFonts w:ascii="Arial" w:eastAsia="Arial" w:hAnsi="Arial" w:cs="Arial"/>
          <w:color w:val="000000"/>
        </w:rPr>
        <w:t xml:space="preserve"> to 18</w:t>
      </w:r>
    </w:p>
    <w:p w:rsidR="007A6EB4" w:rsidRDefault="006F3363">
      <w:pPr>
        <w:spacing w:before="120" w:line="300" w:lineRule="atLeast"/>
      </w:pPr>
      <w:r>
        <w:rPr>
          <w:rFonts w:ascii="Arial" w:eastAsia="Arial" w:hAnsi="Arial" w:cs="Arial"/>
          <w:color w:val="000000"/>
        </w:rPr>
        <w:lastRenderedPageBreak/>
        <w:t>C.J.S., Civil Rights §§ 1 to 23</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West's Key Number Digest, Civil Rights [westkey]1701, 1714 to 1721, 1746, 1764 to 1774, 1807, 1808</w:t>
      </w:r>
    </w:p>
    <w:p w:rsidR="007A6EB4" w:rsidRDefault="006F3363">
      <w:pPr>
        <w:spacing w:before="120" w:line="300" w:lineRule="atLeast"/>
      </w:pPr>
      <w:r>
        <w:rPr>
          <w:rFonts w:ascii="Arial" w:eastAsia="Arial" w:hAnsi="Arial" w:cs="Arial"/>
          <w:color w:val="000000"/>
        </w:rPr>
        <w:t xml:space="preserve">Validity, construction, and </w:t>
      </w:r>
      <w:r>
        <w:rPr>
          <w:rFonts w:ascii="Arial" w:eastAsia="Arial" w:hAnsi="Arial" w:cs="Arial"/>
          <w:color w:val="000000"/>
        </w:rPr>
        <w:t>application of state enactment, order, or regulation expressly prohibiting sexual orientation discrimination, 82 A.L.R.5th 1</w:t>
      </w:r>
    </w:p>
    <w:p w:rsidR="007A6EB4" w:rsidRDefault="006F3363">
      <w:pPr>
        <w:spacing w:before="120" w:line="300" w:lineRule="atLeast"/>
      </w:pPr>
      <w:r>
        <w:rPr>
          <w:rFonts w:ascii="Arial" w:eastAsia="Arial" w:hAnsi="Arial" w:cs="Arial"/>
          <w:color w:val="000000"/>
        </w:rPr>
        <w:t>Right to jury trial in action under state civil rights law, 12 A.L.R.5th 508</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46" style="position:absolute;z-index:25179955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760.07, Fla. Stat. was amend</w:t>
      </w:r>
      <w:r>
        <w:rPr>
          <w:rFonts w:ascii="Arial" w:eastAsia="Arial" w:hAnsi="Arial" w:cs="Arial"/>
          <w:color w:val="000000"/>
        </w:rPr>
        <w:t>ed, effective July 1, 2015, to additionally provide civil and administrative remedies for discrimination on the basis of pregnancy in the areas of education, employment, housing, or public accommodations.</w:t>
      </w:r>
    </w:p>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Claim by airline passenger that county sherif</w:t>
      </w:r>
      <w:r>
        <w:rPr>
          <w:rFonts w:ascii="Arial" w:eastAsia="Arial" w:hAnsi="Arial" w:cs="Arial"/>
          <w:color w:val="000000"/>
        </w:rPr>
        <w:t>f's department violated his state constitutional protections against unreasonable search and seizure by accepting passenger's driver's license from Transportation Security Administration (TSA) officer and running a warrant check was not cognizable under Fl</w:t>
      </w:r>
      <w:r>
        <w:rPr>
          <w:rFonts w:ascii="Arial" w:eastAsia="Arial" w:hAnsi="Arial" w:cs="Arial"/>
          <w:color w:val="000000"/>
        </w:rPr>
        <w:t>orida law, where passenger sought only money damages for the alleged state constitutional violation. West's F.S.A. Const. Art. 1, § 12. Corbett v. Transportation Sec. Admin., 968 F. Supp. 2d 1171 (S.D. Fla. 2012) (applying Florida law).</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47" style="position:absolute;left:0;text-align:left;z-index:25184460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31"/>
          <w:headerReference w:type="default" r:id="rId32"/>
          <w:footerReference w:type="even" r:id="rId33"/>
          <w:footerReference w:type="default" r:id="rId34"/>
          <w:headerReference w:type="first" r:id="rId35"/>
          <w:footerReference w:type="first" r:id="rId36"/>
          <w:pgSz w:w="12240" w:h="15840"/>
          <w:pgMar w:top="840" w:right="1000" w:bottom="840" w:left="1000" w:header="400" w:footer="400" w:gutter="0"/>
          <w:cols w:space="720"/>
          <w:titlePg/>
        </w:sectPr>
      </w:pPr>
    </w:p>
    <w:p w:rsidR="007A6EB4" w:rsidRDefault="007A6EB4">
      <w:bookmarkStart w:id="5" w:name="Bookmark_5"/>
      <w:bookmarkEnd w:id="5"/>
    </w:p>
    <w:p w:rsidR="007A6EB4" w:rsidRDefault="006F3363">
      <w:r>
        <w:pict>
          <v:shape id="_x0000_i1029"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 xml:space="preserve">I. </w:t>
      </w:r>
      <w:r>
        <w:rPr>
          <w:rFonts w:ascii="Arial" w:eastAsia="Arial" w:hAnsi="Arial" w:cs="Arial"/>
          <w:b/>
          <w:i/>
          <w:color w:val="000000"/>
          <w:sz w:val="22"/>
        </w:rPr>
        <w:t>In General</w:t>
      </w:r>
      <w:r>
        <w:rPr>
          <w:rFonts w:ascii="Arial" w:eastAsia="Arial" w:hAnsi="Arial" w:cs="Arial"/>
          <w:b/>
          <w:color w:val="000000"/>
          <w:sz w:val="22"/>
        </w:rPr>
        <w:t xml:space="preserve">  &gt;  </w:t>
      </w:r>
      <w:r>
        <w:rPr>
          <w:rFonts w:ascii="Arial" w:eastAsia="Arial" w:hAnsi="Arial" w:cs="Arial"/>
          <w:b/>
          <w:i/>
          <w:color w:val="000000"/>
          <w:sz w:val="22"/>
        </w:rPr>
        <w:t>A. Overview</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49" style="position:absolute;z-index:25166233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4 Waiver of sovereign immunity</w:t>
      </w:r>
    </w:p>
    <w:p w:rsidR="007A6EB4" w:rsidRDefault="006F3363">
      <w:pPr>
        <w:spacing w:line="60" w:lineRule="exact"/>
      </w:pPr>
      <w:r>
        <w:pict>
          <v:line id="_x0000_s1050" style="position:absolute;z-index:25170841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The State of Florida has waived its sovereign immunity under the Florida Civil Rights Act.</w:t>
      </w:r>
      <w:r>
        <w:rPr>
          <w:rFonts w:ascii="Arial" w:eastAsia="Arial" w:hAnsi="Arial" w:cs="Arial"/>
          <w:vertAlign w:val="superscript"/>
        </w:rPr>
        <w:footnoteReference w:customMarkFollows="1" w:id="40"/>
        <w:t>n1</w:t>
      </w:r>
      <w:r>
        <w:rPr>
          <w:rFonts w:ascii="Arial" w:eastAsia="Arial" w:hAnsi="Arial" w:cs="Arial"/>
          <w:color w:val="000000"/>
        </w:rPr>
        <w:t xml:space="preserve"> This waiver does not, however, extend to federal civil-rights actions.</w:t>
      </w:r>
      <w:r>
        <w:rPr>
          <w:rFonts w:ascii="Arial" w:eastAsia="Arial" w:hAnsi="Arial" w:cs="Arial"/>
          <w:vertAlign w:val="superscript"/>
        </w:rPr>
        <w:footnoteReference w:customMarkFollows="1" w:id="41"/>
        <w:t>n2</w:t>
      </w:r>
      <w:r>
        <w:rPr>
          <w:rFonts w:ascii="Arial" w:eastAsia="Arial" w:hAnsi="Arial" w:cs="Arial"/>
          <w:color w:val="000000"/>
        </w:rPr>
        <w:t xml:space="preserve"> Federal law is enforceable in state courts, but only municipal corporations, local government entities, individual officers, and other actors that are not arms of the State may be li</w:t>
      </w:r>
      <w:r>
        <w:rPr>
          <w:rFonts w:ascii="Arial" w:eastAsia="Arial" w:hAnsi="Arial" w:cs="Arial"/>
          <w:color w:val="000000"/>
        </w:rPr>
        <w:t>able under the federal statute.</w:t>
      </w:r>
      <w:r>
        <w:rPr>
          <w:rFonts w:ascii="Arial" w:eastAsia="Arial" w:hAnsi="Arial" w:cs="Arial"/>
          <w:vertAlign w:val="superscript"/>
        </w:rPr>
        <w:footnoteReference w:customMarkFollows="1" w:id="42"/>
        <w:t>n3</w:t>
      </w:r>
    </w:p>
    <w:p w:rsidR="007A6EB4" w:rsidRDefault="006F3363">
      <w:pPr>
        <w:spacing w:before="200" w:line="300" w:lineRule="atLeast"/>
        <w:jc w:val="both"/>
      </w:pPr>
      <w:r>
        <w:rPr>
          <w:rFonts w:ascii="Arial" w:eastAsia="Arial" w:hAnsi="Arial" w:cs="Arial"/>
          <w:color w:val="000000"/>
        </w:rPr>
        <w:t>Observation: In a civil-rights case, qualified immunity is a separate and distinct question from the plaintiff's theory of liability.</w:t>
      </w:r>
      <w:r>
        <w:rPr>
          <w:rFonts w:ascii="Arial" w:eastAsia="Arial" w:hAnsi="Arial" w:cs="Arial"/>
          <w:vertAlign w:val="superscript"/>
        </w:rPr>
        <w:footnoteReference w:customMarkFollows="1" w:id="43"/>
        <w:t>n4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51" style="position:absolute;z-index:25175449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[westkey]1001, 1105, 1147, </w:t>
      </w:r>
      <w:r>
        <w:rPr>
          <w:rFonts w:ascii="Arial" w:eastAsia="Arial" w:hAnsi="Arial" w:cs="Arial"/>
          <w:color w:val="000000"/>
        </w:rPr>
        <w:t>1224, 1373, 1376(1), 1376(3), 1376(4), 1376(9), 1376(10), 1701, 1702, 1707, 1709 to 1721, 1735, 1746, 1764 to 1774, 1807, 1808</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t>West's Key Number Digest, Courts [westkey]97(5)</w:t>
      </w:r>
    </w:p>
    <w:p w:rsidR="007A6EB4" w:rsidRDefault="006F3363">
      <w:pPr>
        <w:spacing w:before="120" w:line="300" w:lineRule="atLeast"/>
      </w:pPr>
      <w:r>
        <w:rPr>
          <w:rFonts w:ascii="Arial" w:eastAsia="Arial" w:hAnsi="Arial" w:cs="Arial"/>
          <w:color w:val="000000"/>
        </w:rPr>
        <w:lastRenderedPageBreak/>
        <w:t>West's Key Num</w:t>
      </w:r>
      <w:r>
        <w:rPr>
          <w:rFonts w:ascii="Arial" w:eastAsia="Arial" w:hAnsi="Arial" w:cs="Arial"/>
          <w:color w:val="000000"/>
        </w:rPr>
        <w:t>ber Digest, States [westkey]191.9(1)</w:t>
      </w:r>
    </w:p>
    <w:p w:rsidR="007A6EB4" w:rsidRDefault="006F3363">
      <w:pPr>
        <w:spacing w:before="120" w:line="300" w:lineRule="atLeast"/>
      </w:pPr>
      <w:r>
        <w:rPr>
          <w:rFonts w:ascii="Arial" w:eastAsia="Arial" w:hAnsi="Arial" w:cs="Arial"/>
          <w:color w:val="000000"/>
        </w:rPr>
        <w:t>West's Key Number Digest, Statutes [westkey]226</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[westkey]1001, 1105, 1147, 1224, 1373, 1376(1), 1376(3</w:t>
      </w:r>
      <w:r>
        <w:rPr>
          <w:rFonts w:ascii="Arial" w:eastAsia="Arial" w:hAnsi="Arial" w:cs="Arial"/>
          <w:color w:val="000000"/>
        </w:rPr>
        <w:t>), 1376(4), 1376(9), 1376(10), 1701, 1702, 1707, 1709 to 1721, 1735, 1746, 1764 to 1774, 1807, 1808</w:t>
      </w:r>
    </w:p>
    <w:p w:rsidR="007A6EB4" w:rsidRDefault="006F3363">
      <w:pPr>
        <w:spacing w:before="120" w:line="300" w:lineRule="atLeast"/>
      </w:pPr>
      <w:r>
        <w:rPr>
          <w:rFonts w:ascii="Arial" w:eastAsia="Arial" w:hAnsi="Arial" w:cs="Arial"/>
          <w:color w:val="000000"/>
        </w:rPr>
        <w:t>West's A.L.R. Digest, Constitutional Law [westkey]1065 to 1129</w:t>
      </w:r>
    </w:p>
    <w:p w:rsidR="007A6EB4" w:rsidRDefault="006F3363">
      <w:pPr>
        <w:spacing w:before="120" w:line="300" w:lineRule="atLeast"/>
      </w:pPr>
      <w:r>
        <w:rPr>
          <w:rFonts w:ascii="Arial" w:eastAsia="Arial" w:hAnsi="Arial" w:cs="Arial"/>
          <w:color w:val="000000"/>
        </w:rPr>
        <w:t>West's A.L.R. Digest, Courts [westkey]97(5)</w:t>
      </w:r>
    </w:p>
    <w:p w:rsidR="007A6EB4" w:rsidRDefault="006F3363">
      <w:pPr>
        <w:spacing w:before="120" w:line="300" w:lineRule="atLeast"/>
      </w:pPr>
      <w:r>
        <w:rPr>
          <w:rFonts w:ascii="Arial" w:eastAsia="Arial" w:hAnsi="Arial" w:cs="Arial"/>
          <w:color w:val="000000"/>
        </w:rPr>
        <w:t>West's A.L.R. Digest, States [westkey]191.9(1)</w:t>
      </w:r>
    </w:p>
    <w:p w:rsidR="007A6EB4" w:rsidRDefault="006F3363">
      <w:pPr>
        <w:spacing w:before="120" w:line="300" w:lineRule="atLeast"/>
      </w:pPr>
      <w:r>
        <w:rPr>
          <w:rFonts w:ascii="Arial" w:eastAsia="Arial" w:hAnsi="Arial" w:cs="Arial"/>
          <w:color w:val="000000"/>
        </w:rPr>
        <w:t>We</w:t>
      </w:r>
      <w:r>
        <w:rPr>
          <w:rFonts w:ascii="Arial" w:eastAsia="Arial" w:hAnsi="Arial" w:cs="Arial"/>
          <w:color w:val="000000"/>
        </w:rPr>
        <w:t>st's A.L.R. Digest, Statutes [westkey]226</w:t>
      </w:r>
    </w:p>
    <w:p w:rsidR="007A6EB4" w:rsidRDefault="006F3363">
      <w:pPr>
        <w:spacing w:before="120" w:line="300" w:lineRule="atLeast"/>
      </w:pPr>
      <w:r>
        <w:rPr>
          <w:rFonts w:ascii="Arial" w:eastAsia="Arial" w:hAnsi="Arial" w:cs="Arial"/>
          <w:color w:val="000000"/>
        </w:rPr>
        <w:t>Am. Jur. 2d, Civil Rights §§ 1 to 18</w:t>
      </w:r>
    </w:p>
    <w:p w:rsidR="007A6EB4" w:rsidRDefault="006F3363">
      <w:pPr>
        <w:spacing w:before="120" w:line="300" w:lineRule="atLeast"/>
      </w:pPr>
      <w:r>
        <w:rPr>
          <w:rFonts w:ascii="Arial" w:eastAsia="Arial" w:hAnsi="Arial" w:cs="Arial"/>
          <w:color w:val="000000"/>
        </w:rPr>
        <w:t>C.J.S., Civil Rights §§ 1 to 23</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 xml:space="preserve">West's Key Number Digest, Civil Rights [westkey]1373, 1376(1), </w:t>
      </w:r>
      <w:r>
        <w:rPr>
          <w:rFonts w:ascii="Arial" w:eastAsia="Arial" w:hAnsi="Arial" w:cs="Arial"/>
          <w:color w:val="000000"/>
        </w:rPr>
        <w:t>1376(3), 1376(4), 1376(9), 1376(10), 1735</w:t>
      </w:r>
    </w:p>
    <w:p w:rsidR="007A6EB4" w:rsidRDefault="006F3363">
      <w:pPr>
        <w:spacing w:before="120" w:line="300" w:lineRule="atLeast"/>
      </w:pPr>
      <w:r>
        <w:rPr>
          <w:rFonts w:ascii="Arial" w:eastAsia="Arial" w:hAnsi="Arial" w:cs="Arial"/>
          <w:color w:val="000000"/>
        </w:rPr>
        <w:t>West's Key Number Digest, States [westkey]191.9(1)</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52" style="position:absolute;left:0;text-align:left;z-index:25180057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37"/>
          <w:headerReference w:type="default" r:id="rId38"/>
          <w:footerReference w:type="even" r:id="rId39"/>
          <w:footerReference w:type="default" r:id="rId40"/>
          <w:headerReference w:type="first" r:id="rId41"/>
          <w:footerReference w:type="first" r:id="rId42"/>
          <w:pgSz w:w="12240" w:h="15840"/>
          <w:pgMar w:top="840" w:right="1000" w:bottom="840" w:left="1000" w:header="400" w:footer="400" w:gutter="0"/>
          <w:cols w:space="720"/>
          <w:titlePg/>
        </w:sectPr>
      </w:pPr>
    </w:p>
    <w:p w:rsidR="007A6EB4" w:rsidRDefault="007A6EB4">
      <w:bookmarkStart w:id="6" w:name="Bookmark_6"/>
      <w:bookmarkEnd w:id="6"/>
    </w:p>
    <w:p w:rsidR="007A6EB4" w:rsidRDefault="006F3363">
      <w:r>
        <w:pict>
          <v:shape id="_x0000_i1030"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5</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A. Overview</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54" style="position:absolute;z-index:25166336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5 Commission on human relations</w:t>
      </w:r>
    </w:p>
    <w:p w:rsidR="007A6EB4" w:rsidRDefault="006F3363">
      <w:pPr>
        <w:spacing w:line="60" w:lineRule="exact"/>
      </w:pPr>
      <w:r>
        <w:pict>
          <v:line id="_x0000_s1055" style="position:absolute;z-index:25170944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Charged with the </w:t>
      </w:r>
      <w:r>
        <w:rPr>
          <w:rFonts w:ascii="Arial" w:eastAsia="Arial" w:hAnsi="Arial" w:cs="Arial"/>
          <w:color w:val="000000"/>
        </w:rPr>
        <w:t>administration of the Florida Civil Rights Act of 1992,</w:t>
      </w:r>
      <w:r>
        <w:rPr>
          <w:rFonts w:ascii="Arial" w:eastAsia="Arial" w:hAnsi="Arial" w:cs="Arial"/>
          <w:vertAlign w:val="superscript"/>
        </w:rPr>
        <w:footnoteReference w:customMarkFollows="1" w:id="44"/>
        <w:t>n1</w:t>
      </w:r>
      <w:r>
        <w:rPr>
          <w:rFonts w:ascii="Arial" w:eastAsia="Arial" w:hAnsi="Arial" w:cs="Arial"/>
          <w:color w:val="000000"/>
        </w:rPr>
        <w:t xml:space="preserve"> the Florida Commission on Human Relations is comprised of 12 members,</w:t>
      </w:r>
      <w:r>
        <w:rPr>
          <w:rFonts w:ascii="Arial" w:eastAsia="Arial" w:hAnsi="Arial" w:cs="Arial"/>
          <w:vertAlign w:val="superscript"/>
        </w:rPr>
        <w:footnoteReference w:customMarkFollows="1" w:id="45"/>
        <w:t>n2</w:t>
      </w:r>
      <w:r>
        <w:rPr>
          <w:rFonts w:ascii="Arial" w:eastAsia="Arial" w:hAnsi="Arial" w:cs="Arial"/>
          <w:color w:val="000000"/>
        </w:rPr>
        <w:t xml:space="preserve"> who must be broadly representative of various racial, religious, ethnic, social, economic, political, and professional groups </w:t>
      </w:r>
      <w:r>
        <w:rPr>
          <w:rFonts w:ascii="Arial" w:eastAsia="Arial" w:hAnsi="Arial" w:cs="Arial"/>
          <w:color w:val="000000"/>
        </w:rPr>
        <w:t>within the state, and at least one of whom must be at least 60 years of age.</w:t>
      </w:r>
      <w:r>
        <w:rPr>
          <w:rFonts w:ascii="Arial" w:eastAsia="Arial" w:hAnsi="Arial" w:cs="Arial"/>
          <w:vertAlign w:val="superscript"/>
        </w:rPr>
        <w:footnoteReference w:customMarkFollows="1" w:id="46"/>
        <w:t>n3</w:t>
      </w:r>
    </w:p>
    <w:p w:rsidR="007A6EB4" w:rsidRDefault="006F3363">
      <w:pPr>
        <w:spacing w:before="200" w:line="300" w:lineRule="atLeast"/>
        <w:jc w:val="both"/>
      </w:pPr>
      <w:r>
        <w:rPr>
          <w:rFonts w:ascii="Arial" w:eastAsia="Arial" w:hAnsi="Arial" w:cs="Arial"/>
          <w:color w:val="000000"/>
        </w:rPr>
        <w:t>The Commission must promote and encourage fair treatment and equal opportunity for all persons regardless of race, color, religion, sex, national origin, age, handicap, or marit</w:t>
      </w:r>
      <w:r>
        <w:rPr>
          <w:rFonts w:ascii="Arial" w:eastAsia="Arial" w:hAnsi="Arial" w:cs="Arial"/>
          <w:color w:val="000000"/>
        </w:rPr>
        <w:t>al status and mutual understanding and respect among all members of all economic, social, racial, religious, and ethnic groups and endeavor to eliminate discrimination against, and antagonism between, religious, racial, and ethnic groups and their members.</w:t>
      </w:r>
      <w:r>
        <w:rPr>
          <w:rFonts w:ascii="Arial" w:eastAsia="Arial" w:hAnsi="Arial" w:cs="Arial"/>
          <w:vertAlign w:val="superscript"/>
        </w:rPr>
        <w:footnoteReference w:customMarkFollows="1" w:id="47"/>
        <w:t>n4</w:t>
      </w:r>
    </w:p>
    <w:p w:rsidR="007A6EB4" w:rsidRDefault="006F3363">
      <w:pPr>
        <w:spacing w:before="200" w:line="300" w:lineRule="atLeast"/>
        <w:jc w:val="both"/>
      </w:pPr>
      <w:r>
        <w:rPr>
          <w:rFonts w:ascii="Arial" w:eastAsia="Arial" w:hAnsi="Arial" w:cs="Arial"/>
          <w:color w:val="000000"/>
        </w:rPr>
        <w:t>The Commission has, among its powers, powers to receive, initiate, investigate, seek to conciliate, hold hearings on, and act upon complaints alleging discriminatory practices;</w:t>
      </w:r>
      <w:r>
        <w:rPr>
          <w:rFonts w:ascii="Arial" w:eastAsia="Arial" w:hAnsi="Arial" w:cs="Arial"/>
          <w:vertAlign w:val="superscript"/>
        </w:rPr>
        <w:footnoteReference w:customMarkFollows="1" w:id="48"/>
        <w:t>n5</w:t>
      </w:r>
      <w:r>
        <w:rPr>
          <w:rFonts w:ascii="Arial" w:eastAsia="Arial" w:hAnsi="Arial" w:cs="Arial"/>
          <w:color w:val="000000"/>
        </w:rPr>
        <w:t xml:space="preserve"> to recommend methods for elimination of discrimination and intergroup tens</w:t>
      </w:r>
      <w:r>
        <w:rPr>
          <w:rFonts w:ascii="Arial" w:eastAsia="Arial" w:hAnsi="Arial" w:cs="Arial"/>
          <w:color w:val="000000"/>
        </w:rPr>
        <w:t>ions; to use its best efforts to secure compliance with its recommendations;</w:t>
      </w:r>
      <w:r>
        <w:rPr>
          <w:rFonts w:ascii="Arial" w:eastAsia="Arial" w:hAnsi="Arial" w:cs="Arial"/>
          <w:vertAlign w:val="superscript"/>
        </w:rPr>
        <w:footnoteReference w:customMarkFollows="1" w:id="49"/>
        <w:t>n6</w:t>
      </w:r>
      <w:r>
        <w:rPr>
          <w:rFonts w:ascii="Arial" w:eastAsia="Arial" w:hAnsi="Arial" w:cs="Arial"/>
          <w:color w:val="000000"/>
        </w:rPr>
        <w:t xml:space="preserve"> to receive complaints and coordinate all activities as required by the Whistle-Blower's Act;</w:t>
      </w:r>
      <w:r>
        <w:rPr>
          <w:rFonts w:ascii="Arial" w:eastAsia="Arial" w:hAnsi="Arial" w:cs="Arial"/>
          <w:vertAlign w:val="superscript"/>
        </w:rPr>
        <w:footnoteReference w:customMarkFollows="1" w:id="50"/>
        <w:t>n7</w:t>
      </w:r>
      <w:r>
        <w:rPr>
          <w:rFonts w:ascii="Arial" w:eastAsia="Arial" w:hAnsi="Arial" w:cs="Arial"/>
          <w:color w:val="000000"/>
        </w:rPr>
        <w:t xml:space="preserve"> and to adopt, promulgate, amend, and rescind rules to effectuate the purposes and </w:t>
      </w:r>
      <w:r>
        <w:rPr>
          <w:rFonts w:ascii="Arial" w:eastAsia="Arial" w:hAnsi="Arial" w:cs="Arial"/>
          <w:color w:val="000000"/>
        </w:rPr>
        <w:t xml:space="preserve">policies of the Florida Civil Rights Act and govern </w:t>
      </w:r>
      <w:r>
        <w:rPr>
          <w:rFonts w:ascii="Arial" w:eastAsia="Arial" w:hAnsi="Arial" w:cs="Arial"/>
          <w:color w:val="000000"/>
        </w:rPr>
        <w:lastRenderedPageBreak/>
        <w:t>the proceedings of the Commission in accordance with the Florida Administrative Procedure Act.</w:t>
      </w:r>
      <w:r>
        <w:rPr>
          <w:rFonts w:ascii="Arial" w:eastAsia="Arial" w:hAnsi="Arial" w:cs="Arial"/>
          <w:vertAlign w:val="superscript"/>
        </w:rPr>
        <w:footnoteReference w:customMarkFollows="1" w:id="51"/>
        <w:t>n8</w:t>
      </w:r>
    </w:p>
    <w:p w:rsidR="007A6EB4" w:rsidRDefault="006F3363">
      <w:pPr>
        <w:spacing w:before="200" w:line="300" w:lineRule="atLeast"/>
        <w:jc w:val="both"/>
      </w:pPr>
      <w:r>
        <w:rPr>
          <w:rFonts w:ascii="Arial" w:eastAsia="Arial" w:hAnsi="Arial" w:cs="Arial"/>
          <w:color w:val="000000"/>
        </w:rPr>
        <w:t>To aid in its administration, the Commission is granted the power to issue subpoenas, administer oaths, and</w:t>
      </w:r>
      <w:r>
        <w:rPr>
          <w:rFonts w:ascii="Arial" w:eastAsia="Arial" w:hAnsi="Arial" w:cs="Arial"/>
          <w:color w:val="000000"/>
        </w:rPr>
        <w:t xml:space="preserve"> compel the production of books, papers, records, documents, and other evidence.</w:t>
      </w:r>
      <w:r>
        <w:rPr>
          <w:rFonts w:ascii="Arial" w:eastAsia="Arial" w:hAnsi="Arial" w:cs="Arial"/>
          <w:vertAlign w:val="superscript"/>
        </w:rPr>
        <w:footnoteReference w:customMarkFollows="1" w:id="52"/>
        <w:t>n9</w:t>
      </w:r>
      <w:r>
        <w:rPr>
          <w:rFonts w:ascii="Arial" w:eastAsia="Arial" w:hAnsi="Arial" w:cs="Arial"/>
          <w:color w:val="000000"/>
        </w:rPr>
        <w:t xml:space="preserve"> The authority to issue subpoenas and administer oaths may be delegated to a commissioner or the executive director.</w:t>
      </w:r>
      <w:r>
        <w:rPr>
          <w:rFonts w:ascii="Arial" w:eastAsia="Arial" w:hAnsi="Arial" w:cs="Arial"/>
          <w:vertAlign w:val="superscript"/>
        </w:rPr>
        <w:footnoteReference w:customMarkFollows="1" w:id="53"/>
        <w:t>n10</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56" style="position:absolute;z-index:25175552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t>
      </w:r>
      <w:r>
        <w:rPr>
          <w:rFonts w:ascii="Arial" w:eastAsia="Arial" w:hAnsi="Arial" w:cs="Arial"/>
          <w:color w:val="000000"/>
        </w:rPr>
        <w:t>westkey]1001, 1105, 1147, 1224, 1373, 1376(1), 1376(3), 1376(4), 1376(9), 1376(10), 1701, 1702, 1707, 1709 to 1721, 1735, 1746, 1764 to 1774, 1807, 1808</w:t>
      </w:r>
    </w:p>
    <w:p w:rsidR="007A6EB4" w:rsidRDefault="006F3363">
      <w:pPr>
        <w:spacing w:before="120" w:line="300" w:lineRule="atLeast"/>
      </w:pPr>
      <w:r>
        <w:rPr>
          <w:rFonts w:ascii="Arial" w:eastAsia="Arial" w:hAnsi="Arial" w:cs="Arial"/>
          <w:color w:val="000000"/>
        </w:rPr>
        <w:t>West's Key Number Digest, Constitutional Law [westkey]1065 to 1129</w:t>
      </w:r>
    </w:p>
    <w:p w:rsidR="007A6EB4" w:rsidRDefault="006F3363">
      <w:pPr>
        <w:spacing w:before="120" w:line="300" w:lineRule="atLeast"/>
      </w:pPr>
      <w:r>
        <w:rPr>
          <w:rFonts w:ascii="Arial" w:eastAsia="Arial" w:hAnsi="Arial" w:cs="Arial"/>
          <w:color w:val="000000"/>
        </w:rPr>
        <w:t>West's Key Number Digest, Courts [we</w:t>
      </w:r>
      <w:r>
        <w:rPr>
          <w:rFonts w:ascii="Arial" w:eastAsia="Arial" w:hAnsi="Arial" w:cs="Arial"/>
          <w:color w:val="000000"/>
        </w:rPr>
        <w:t>stkey]97(5)</w:t>
      </w:r>
    </w:p>
    <w:p w:rsidR="007A6EB4" w:rsidRDefault="006F3363">
      <w:pPr>
        <w:spacing w:before="120" w:line="300" w:lineRule="atLeast"/>
      </w:pPr>
      <w:r>
        <w:rPr>
          <w:rFonts w:ascii="Arial" w:eastAsia="Arial" w:hAnsi="Arial" w:cs="Arial"/>
          <w:color w:val="000000"/>
        </w:rPr>
        <w:t>West's Key Number Digest, States [westkey]191.9(1)</w:t>
      </w:r>
    </w:p>
    <w:p w:rsidR="007A6EB4" w:rsidRDefault="006F3363">
      <w:pPr>
        <w:spacing w:before="120" w:line="300" w:lineRule="atLeast"/>
      </w:pPr>
      <w:r>
        <w:rPr>
          <w:rFonts w:ascii="Arial" w:eastAsia="Arial" w:hAnsi="Arial" w:cs="Arial"/>
          <w:color w:val="000000"/>
        </w:rPr>
        <w:t>West's Key Number Digest, Statutes [westkey]226</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 xml:space="preserve">West's A.L.R. Digest, Civil Rights [westkey]1001, 1105, </w:t>
      </w:r>
      <w:r>
        <w:rPr>
          <w:rFonts w:ascii="Arial" w:eastAsia="Arial" w:hAnsi="Arial" w:cs="Arial"/>
          <w:color w:val="000000"/>
        </w:rPr>
        <w:t>1147, 1224, 1373, 1376(1), 1376(3), 1376(4), 1376(9), 1376(10), 1701, 1702, 1707, 1709 to 1721, 1735, 1746, 1764 to 1774, 1807, 1808</w:t>
      </w:r>
    </w:p>
    <w:p w:rsidR="007A6EB4" w:rsidRDefault="006F3363">
      <w:pPr>
        <w:spacing w:before="120" w:line="300" w:lineRule="atLeast"/>
      </w:pPr>
      <w:r>
        <w:rPr>
          <w:rFonts w:ascii="Arial" w:eastAsia="Arial" w:hAnsi="Arial" w:cs="Arial"/>
          <w:color w:val="000000"/>
        </w:rPr>
        <w:t>West's A.L.R. Digest, Constitutional Law [westkey]1065 to 1129</w:t>
      </w:r>
    </w:p>
    <w:p w:rsidR="007A6EB4" w:rsidRDefault="006F3363">
      <w:pPr>
        <w:spacing w:before="120" w:line="300" w:lineRule="atLeast"/>
      </w:pPr>
      <w:r>
        <w:rPr>
          <w:rFonts w:ascii="Arial" w:eastAsia="Arial" w:hAnsi="Arial" w:cs="Arial"/>
          <w:color w:val="000000"/>
        </w:rPr>
        <w:t>West's A.L.R. Digest, Courts [westkey]97(5)</w:t>
      </w:r>
    </w:p>
    <w:p w:rsidR="007A6EB4" w:rsidRDefault="006F3363">
      <w:pPr>
        <w:spacing w:before="120" w:line="300" w:lineRule="atLeast"/>
      </w:pPr>
      <w:r>
        <w:rPr>
          <w:rFonts w:ascii="Arial" w:eastAsia="Arial" w:hAnsi="Arial" w:cs="Arial"/>
          <w:color w:val="000000"/>
        </w:rPr>
        <w:t>West's A.L.R. Di</w:t>
      </w:r>
      <w:r>
        <w:rPr>
          <w:rFonts w:ascii="Arial" w:eastAsia="Arial" w:hAnsi="Arial" w:cs="Arial"/>
          <w:color w:val="000000"/>
        </w:rPr>
        <w:t>gest, States [westkey]191.9(1)</w:t>
      </w:r>
    </w:p>
    <w:p w:rsidR="007A6EB4" w:rsidRDefault="006F3363">
      <w:pPr>
        <w:spacing w:before="120" w:line="300" w:lineRule="atLeast"/>
      </w:pPr>
      <w:r>
        <w:rPr>
          <w:rFonts w:ascii="Arial" w:eastAsia="Arial" w:hAnsi="Arial" w:cs="Arial"/>
          <w:color w:val="000000"/>
        </w:rPr>
        <w:t>West's A.L.R. Digest, Statutes [westkey]226</w:t>
      </w:r>
    </w:p>
    <w:p w:rsidR="007A6EB4" w:rsidRDefault="006F3363">
      <w:pPr>
        <w:spacing w:before="120" w:line="300" w:lineRule="atLeast"/>
      </w:pPr>
      <w:r>
        <w:rPr>
          <w:rFonts w:ascii="Arial" w:eastAsia="Arial" w:hAnsi="Arial" w:cs="Arial"/>
          <w:color w:val="000000"/>
        </w:rPr>
        <w:t>Am. Jur. 2d, Civil Rights §§ 1 to 18</w:t>
      </w:r>
    </w:p>
    <w:p w:rsidR="007A6EB4" w:rsidRDefault="006F3363">
      <w:pPr>
        <w:spacing w:before="120" w:line="300" w:lineRule="atLeast"/>
      </w:pPr>
      <w:r>
        <w:rPr>
          <w:rFonts w:ascii="Arial" w:eastAsia="Arial" w:hAnsi="Arial" w:cs="Arial"/>
          <w:color w:val="000000"/>
        </w:rPr>
        <w:t>C.J.S., Civil Rights §§ 1 to 23</w:t>
      </w:r>
    </w:p>
    <w:p w:rsidR="007A6EB4" w:rsidRDefault="006F3363">
      <w:pPr>
        <w:spacing w:before="120" w:line="300" w:lineRule="atLeast"/>
      </w:pPr>
      <w:r>
        <w:rPr>
          <w:rFonts w:ascii="Arial" w:eastAsia="Arial" w:hAnsi="Arial" w:cs="Arial"/>
          <w:color w:val="000000"/>
        </w:rPr>
        <w:t>Age Discrimination in Employment Action Under ADEA, 75 Am. Jur. Trials 363</w:t>
      </w:r>
    </w:p>
    <w:p w:rsidR="007A6EB4" w:rsidRDefault="006F3363">
      <w:pPr>
        <w:spacing w:before="120" w:line="300" w:lineRule="atLeast"/>
      </w:pPr>
      <w:r>
        <w:rPr>
          <w:rFonts w:ascii="Arial" w:eastAsia="Arial" w:hAnsi="Arial" w:cs="Arial"/>
          <w:color w:val="000000"/>
        </w:rPr>
        <w:t>West's Key Number Digest, Civil Right</w:t>
      </w:r>
      <w:r>
        <w:rPr>
          <w:rFonts w:ascii="Arial" w:eastAsia="Arial" w:hAnsi="Arial" w:cs="Arial"/>
          <w:color w:val="000000"/>
        </w:rPr>
        <w:t>s [westkey]1707, 1709, 1711, 1712</w:t>
      </w:r>
    </w:p>
    <w:p w:rsidR="007A6EB4" w:rsidRDefault="006F3363">
      <w:pPr>
        <w:keepNext/>
        <w:spacing w:before="240" w:line="340" w:lineRule="atLeast"/>
      </w:pPr>
      <w:r>
        <w:lastRenderedPageBreak/>
        <w:br/>
      </w:r>
      <w:r>
        <w:rPr>
          <w:rFonts w:ascii="Arial" w:eastAsia="Arial" w:hAnsi="Arial" w:cs="Arial"/>
          <w:b/>
          <w:color w:val="000000"/>
          <w:sz w:val="28"/>
        </w:rPr>
        <w:t>Supplement</w:t>
      </w:r>
    </w:p>
    <w:p w:rsidR="007A6EB4" w:rsidRDefault="006F3363">
      <w:pPr>
        <w:spacing w:line="60" w:lineRule="exact"/>
      </w:pPr>
      <w:r>
        <w:pict>
          <v:line id="_x0000_s1057" style="position:absolute;z-index:25180160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xml:space="preserve">§ 760.05, Fla. Stat. was amended, effective July 1, 2015, to revise the function of the Florida Commission on Human Relations, and as such, provides that the Commission shall promote and </w:t>
      </w:r>
      <w:r>
        <w:rPr>
          <w:rFonts w:ascii="Arial" w:eastAsia="Arial" w:hAnsi="Arial" w:cs="Arial"/>
          <w:color w:val="000000"/>
        </w:rPr>
        <w:t>encourage fair treatment and equal opportunity for all persons regardless of race, color, religion, sex, pregnancy, national origin, age, handicap, or marital status and mutual understanding and respect among all members of all economic, social, racial, re</w:t>
      </w:r>
      <w:r>
        <w:rPr>
          <w:rFonts w:ascii="Arial" w:eastAsia="Arial" w:hAnsi="Arial" w:cs="Arial"/>
          <w:color w:val="000000"/>
        </w:rPr>
        <w:t>ligious, and ethnic groups; and shall endeavor to eliminate discrimination against, and antagonism between, religious, racial, and ethnic groups and their members.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58" style="position:absolute;left:0;text-align:left;z-index:251845632;mso-position-horizontal-relative:text;mso-position-vertical-relative:text" from="0,10pt" to="512pt,10pt" strokeweight="1pt"/>
        </w:pict>
      </w:r>
      <w:r>
        <w:rPr>
          <w:b/>
          <w:color w:val="767676"/>
          <w:sz w:val="16"/>
        </w:rPr>
        <w:t>E</w:t>
      </w:r>
      <w:r>
        <w:rPr>
          <w:b/>
          <w:color w:val="767676"/>
          <w:sz w:val="16"/>
        </w:rPr>
        <w:t>nd of Document</w:t>
      </w:r>
    </w:p>
    <w:p w:rsidR="007A6EB4" w:rsidRDefault="007A6EB4">
      <w:pPr>
        <w:sectPr w:rsidR="007A6EB4">
          <w:headerReference w:type="even" r:id="rId43"/>
          <w:headerReference w:type="default" r:id="rId44"/>
          <w:footerReference w:type="even" r:id="rId45"/>
          <w:footerReference w:type="default" r:id="rId46"/>
          <w:headerReference w:type="first" r:id="rId47"/>
          <w:footerReference w:type="first" r:id="rId48"/>
          <w:pgSz w:w="12240" w:h="15840"/>
          <w:pgMar w:top="840" w:right="1000" w:bottom="840" w:left="1000" w:header="400" w:footer="400" w:gutter="0"/>
          <w:cols w:space="720"/>
          <w:titlePg/>
        </w:sectPr>
      </w:pPr>
    </w:p>
    <w:p w:rsidR="007A6EB4" w:rsidRDefault="007A6EB4">
      <w:bookmarkStart w:id="7" w:name="Bookmark_7"/>
      <w:bookmarkEnd w:id="7"/>
    </w:p>
    <w:p w:rsidR="007A6EB4" w:rsidRDefault="006F3363">
      <w:r>
        <w:pict>
          <v:shape id="_x0000_i1031"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6</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 xml:space="preserve">B. Administrative and Civil Remedies Under Florida Civil </w:t>
      </w:r>
      <w:r>
        <w:rPr>
          <w:rFonts w:ascii="Arial" w:eastAsia="Arial" w:hAnsi="Arial" w:cs="Arial"/>
          <w:b/>
          <w:i/>
          <w:color w:val="000000"/>
          <w:sz w:val="22"/>
        </w:rPr>
        <w:t>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60" style="position:absolute;z-index:25166438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6 Initiating action; determination of reasonable cause</w:t>
      </w:r>
    </w:p>
    <w:p w:rsidR="007A6EB4" w:rsidRDefault="006F3363">
      <w:pPr>
        <w:spacing w:line="60" w:lineRule="exact"/>
      </w:pPr>
      <w:r>
        <w:pict>
          <v:line id="_x0000_s1061" style="position:absolute;z-index:25171046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The Florida Civil Rights Act provides for a private right of action for violation of any Florida discrimination statute.</w:t>
      </w:r>
      <w:r>
        <w:rPr>
          <w:rFonts w:ascii="Arial" w:eastAsia="Arial" w:hAnsi="Arial" w:cs="Arial"/>
          <w:vertAlign w:val="superscript"/>
        </w:rPr>
        <w:footnoteReference w:customMarkFollows="1" w:id="54"/>
        <w:t>n1</w:t>
      </w:r>
      <w:r>
        <w:rPr>
          <w:rFonts w:ascii="Arial" w:eastAsia="Arial" w:hAnsi="Arial" w:cs="Arial"/>
          <w:color w:val="000000"/>
        </w:rPr>
        <w:t xml:space="preserve"> However, the Act first requires that the claimant comply with a set of presuit administrative procedures.</w:t>
      </w:r>
      <w:r>
        <w:rPr>
          <w:rFonts w:ascii="Arial" w:eastAsia="Arial" w:hAnsi="Arial" w:cs="Arial"/>
          <w:vertAlign w:val="superscript"/>
        </w:rPr>
        <w:footnoteReference w:customMarkFollows="1" w:id="55"/>
        <w:t>n2</w:t>
      </w:r>
      <w:r>
        <w:rPr>
          <w:rFonts w:ascii="Arial" w:eastAsia="Arial" w:hAnsi="Arial" w:cs="Arial"/>
          <w:color w:val="000000"/>
        </w:rPr>
        <w:t xml:space="preserve"> Any person aggrieved by a violation of the Florida Civil Rights Act may file a complaint with the Commission on Human Relations within 365 days of </w:t>
      </w:r>
      <w:r>
        <w:rPr>
          <w:rFonts w:ascii="Arial" w:eastAsia="Arial" w:hAnsi="Arial" w:cs="Arial"/>
          <w:color w:val="000000"/>
        </w:rPr>
        <w:t>the alleged violation, naming the entity or person responsible for the violation and describing the violation.</w:t>
      </w:r>
      <w:r>
        <w:rPr>
          <w:rFonts w:ascii="Arial" w:eastAsia="Arial" w:hAnsi="Arial" w:cs="Arial"/>
          <w:vertAlign w:val="superscript"/>
        </w:rPr>
        <w:footnoteReference w:customMarkFollows="1" w:id="56"/>
        <w:t>n3</w:t>
      </w:r>
      <w:r>
        <w:rPr>
          <w:rFonts w:ascii="Arial" w:eastAsia="Arial" w:hAnsi="Arial" w:cs="Arial"/>
          <w:color w:val="000000"/>
        </w:rPr>
        <w:t xml:space="preserve"> The Commission, a commissioner, or the Attorney General may also file such a complaint.</w:t>
      </w:r>
      <w:r>
        <w:rPr>
          <w:rFonts w:ascii="Arial" w:eastAsia="Arial" w:hAnsi="Arial" w:cs="Arial"/>
          <w:vertAlign w:val="superscript"/>
        </w:rPr>
        <w:footnoteReference w:customMarkFollows="1" w:id="57"/>
        <w:t>n4</w:t>
      </w:r>
      <w:r>
        <w:rPr>
          <w:rFonts w:ascii="Arial" w:eastAsia="Arial" w:hAnsi="Arial" w:cs="Arial"/>
          <w:color w:val="000000"/>
        </w:rPr>
        <w:t xml:space="preserve"> In the alternative, a person may file with the Federa</w:t>
      </w:r>
      <w:r>
        <w:rPr>
          <w:rFonts w:ascii="Arial" w:eastAsia="Arial" w:hAnsi="Arial" w:cs="Arial"/>
          <w:color w:val="000000"/>
        </w:rPr>
        <w:t>l Equal Employment Opportunity Commission or with any unit of government of the state that is a fair-employment-practice agency.</w:t>
      </w:r>
      <w:r>
        <w:rPr>
          <w:rFonts w:ascii="Arial" w:eastAsia="Arial" w:hAnsi="Arial" w:cs="Arial"/>
          <w:vertAlign w:val="superscript"/>
        </w:rPr>
        <w:footnoteReference w:customMarkFollows="1" w:id="58"/>
        <w:t>n5</w:t>
      </w:r>
    </w:p>
    <w:p w:rsidR="007A6EB4" w:rsidRDefault="006F3363">
      <w:pPr>
        <w:spacing w:before="200" w:line="300" w:lineRule="atLeast"/>
        <w:jc w:val="both"/>
      </w:pPr>
      <w:r>
        <w:rPr>
          <w:rFonts w:ascii="Arial" w:eastAsia="Arial" w:hAnsi="Arial" w:cs="Arial"/>
          <w:color w:val="000000"/>
        </w:rPr>
        <w:t>Observation: Although the Florida Civil Rights Act provides that a complaint "may" be filed with the Commission on Human Rela</w:t>
      </w:r>
      <w:r>
        <w:rPr>
          <w:rFonts w:ascii="Arial" w:eastAsia="Arial" w:hAnsi="Arial" w:cs="Arial"/>
          <w:color w:val="000000"/>
        </w:rPr>
        <w:t>tions, such a complaint must be filed either with the Commission or its federal counterpart by anyone who wishes to pursue either a lawsuit or an administrative proceeding under the Act.</w:t>
      </w:r>
      <w:r>
        <w:rPr>
          <w:rFonts w:ascii="Arial" w:eastAsia="Arial" w:hAnsi="Arial" w:cs="Arial"/>
          <w:vertAlign w:val="superscript"/>
        </w:rPr>
        <w:footnoteReference w:customMarkFollows="1" w:id="59"/>
        <w:t>n6</w:t>
      </w:r>
    </w:p>
    <w:p w:rsidR="007A6EB4" w:rsidRDefault="006F3363">
      <w:pPr>
        <w:spacing w:before="200" w:line="300" w:lineRule="atLeast"/>
        <w:jc w:val="both"/>
      </w:pPr>
      <w:r>
        <w:rPr>
          <w:rFonts w:ascii="Arial" w:eastAsia="Arial" w:hAnsi="Arial" w:cs="Arial"/>
          <w:color w:val="000000"/>
        </w:rPr>
        <w:lastRenderedPageBreak/>
        <w:t>Practice Tip: Because the statutory definition of "person" includes</w:t>
      </w:r>
      <w:r>
        <w:rPr>
          <w:rFonts w:ascii="Arial" w:eastAsia="Arial" w:hAnsi="Arial" w:cs="Arial"/>
          <w:color w:val="000000"/>
        </w:rPr>
        <w:t xml:space="preserve"> governmental agencies, an employee may file a complaint with a state human rights agency, which then forwards a copy to the Commission.</w:t>
      </w:r>
      <w:r>
        <w:rPr>
          <w:rFonts w:ascii="Arial" w:eastAsia="Arial" w:hAnsi="Arial" w:cs="Arial"/>
          <w:vertAlign w:val="superscript"/>
        </w:rPr>
        <w:footnoteReference w:customMarkFollows="1" w:id="60"/>
        <w:t>n7</w:t>
      </w:r>
    </w:p>
    <w:p w:rsidR="007A6EB4" w:rsidRDefault="006F3363">
      <w:pPr>
        <w:spacing w:before="200" w:line="300" w:lineRule="atLeast"/>
        <w:jc w:val="both"/>
      </w:pPr>
      <w:r>
        <w:rPr>
          <w:rFonts w:ascii="Arial" w:eastAsia="Arial" w:hAnsi="Arial" w:cs="Arial"/>
          <w:color w:val="000000"/>
        </w:rPr>
        <w:t>Definition: An "aggrieved person" is any person who files a complaint with the Human Relations Commission.</w:t>
      </w:r>
      <w:r>
        <w:rPr>
          <w:rFonts w:ascii="Arial" w:eastAsia="Arial" w:hAnsi="Arial" w:cs="Arial"/>
          <w:vertAlign w:val="superscript"/>
        </w:rPr>
        <w:footnoteReference w:customMarkFollows="1" w:id="61"/>
        <w:t>n8</w:t>
      </w:r>
    </w:p>
    <w:p w:rsidR="007A6EB4" w:rsidRDefault="006F3363">
      <w:pPr>
        <w:spacing w:before="200" w:line="300" w:lineRule="atLeast"/>
        <w:jc w:val="both"/>
      </w:pPr>
      <w:r>
        <w:rPr>
          <w:rFonts w:ascii="Arial" w:eastAsia="Arial" w:hAnsi="Arial" w:cs="Arial"/>
          <w:color w:val="000000"/>
        </w:rPr>
        <w:t>The comp</w:t>
      </w:r>
      <w:r>
        <w:rPr>
          <w:rFonts w:ascii="Arial" w:eastAsia="Arial" w:hAnsi="Arial" w:cs="Arial"/>
          <w:color w:val="000000"/>
        </w:rPr>
        <w:t>laint must contain a short and plain statement of the facts describing the violation and the relief sought, and the person who allegedly committed the violation may file an answer to the complaint within 25 days of the date when the complaint was filed wit</w:t>
      </w:r>
      <w:r>
        <w:rPr>
          <w:rFonts w:ascii="Arial" w:eastAsia="Arial" w:hAnsi="Arial" w:cs="Arial"/>
          <w:color w:val="000000"/>
        </w:rPr>
        <w:t>h the Commission. Both the complaint and the answer must be verified.</w:t>
      </w:r>
      <w:r>
        <w:rPr>
          <w:rFonts w:ascii="Arial" w:eastAsia="Arial" w:hAnsi="Arial" w:cs="Arial"/>
          <w:vertAlign w:val="superscript"/>
        </w:rPr>
        <w:footnoteReference w:customMarkFollows="1" w:id="62"/>
        <w:t>n9</w:t>
      </w:r>
      <w:r>
        <w:rPr>
          <w:rFonts w:ascii="Arial" w:eastAsia="Arial" w:hAnsi="Arial" w:cs="Arial"/>
          <w:color w:val="000000"/>
        </w:rPr>
        <w:t xml:space="preserve"> An unverified charge of discrimination may be subsequently amended to cure this procedural defect, and that amendment relates back to the date of the original filing.</w:t>
      </w:r>
      <w:r>
        <w:rPr>
          <w:rFonts w:ascii="Arial" w:eastAsia="Arial" w:hAnsi="Arial" w:cs="Arial"/>
          <w:vertAlign w:val="superscript"/>
        </w:rPr>
        <w:footnoteReference w:customMarkFollows="1" w:id="63"/>
        <w:t>n10</w:t>
      </w:r>
    </w:p>
    <w:p w:rsidR="007A6EB4" w:rsidRDefault="006F3363">
      <w:pPr>
        <w:spacing w:before="200" w:line="300" w:lineRule="atLeast"/>
        <w:jc w:val="both"/>
      </w:pPr>
      <w:r>
        <w:rPr>
          <w:rFonts w:ascii="Arial" w:eastAsia="Arial" w:hAnsi="Arial" w:cs="Arial"/>
          <w:color w:val="000000"/>
        </w:rPr>
        <w:t>If not referre</w:t>
      </w:r>
      <w:r>
        <w:rPr>
          <w:rFonts w:ascii="Arial" w:eastAsia="Arial" w:hAnsi="Arial" w:cs="Arial"/>
          <w:color w:val="000000"/>
        </w:rPr>
        <w:t>d to another agency for investigation, the Commission must investigate the allegations in the complaint and determine within 180 days of filing if there is reasonable cause to believe that a discriminatory practice has occurred and must then promptly notif</w:t>
      </w:r>
      <w:r>
        <w:rPr>
          <w:rFonts w:ascii="Arial" w:eastAsia="Arial" w:hAnsi="Arial" w:cs="Arial"/>
          <w:color w:val="000000"/>
        </w:rPr>
        <w:t>y by registered mail the aggrieved person and the respondent of the reasonable-cause determination, the date of such determination, and the options available.</w:t>
      </w:r>
      <w:r>
        <w:rPr>
          <w:rFonts w:ascii="Arial" w:eastAsia="Arial" w:hAnsi="Arial" w:cs="Arial"/>
          <w:vertAlign w:val="superscript"/>
        </w:rPr>
        <w:footnoteReference w:customMarkFollows="1" w:id="64"/>
        <w:t>n11</w:t>
      </w:r>
      <w:r>
        <w:rPr>
          <w:rFonts w:ascii="Arial" w:eastAsia="Arial" w:hAnsi="Arial" w:cs="Arial"/>
          <w:color w:val="000000"/>
        </w:rPr>
        <w:t xml:space="preserve"> If the Commission determines that there is reasonable cause to believe that there has been a v</w:t>
      </w:r>
      <w:r>
        <w:rPr>
          <w:rFonts w:ascii="Arial" w:eastAsia="Arial" w:hAnsi="Arial" w:cs="Arial"/>
          <w:color w:val="000000"/>
        </w:rPr>
        <w:t>iolation of the Civil Rights Act, the aggrieved person may either bring a civil action or request an administrative hearing.</w:t>
      </w:r>
      <w:r>
        <w:rPr>
          <w:rFonts w:ascii="Arial" w:eastAsia="Arial" w:hAnsi="Arial" w:cs="Arial"/>
          <w:vertAlign w:val="superscript"/>
        </w:rPr>
        <w:footnoteReference w:customMarkFollows="1" w:id="65"/>
        <w:t>n12</w:t>
      </w:r>
      <w:r>
        <w:rPr>
          <w:rFonts w:ascii="Arial" w:eastAsia="Arial" w:hAnsi="Arial" w:cs="Arial"/>
          <w:color w:val="000000"/>
        </w:rPr>
        <w:t xml:space="preserve"> This election is the exclusive procedure available to the aggrieved person pursuant to the Civil Rights Act.</w:t>
      </w:r>
      <w:r>
        <w:rPr>
          <w:rFonts w:ascii="Arial" w:eastAsia="Arial" w:hAnsi="Arial" w:cs="Arial"/>
          <w:vertAlign w:val="superscript"/>
        </w:rPr>
        <w:footnoteReference w:customMarkFollows="1" w:id="66"/>
        <w:t>n13</w:t>
      </w:r>
    </w:p>
    <w:p w:rsidR="007A6EB4" w:rsidRDefault="006F3363">
      <w:pPr>
        <w:spacing w:before="200" w:line="300" w:lineRule="atLeast"/>
        <w:jc w:val="both"/>
      </w:pPr>
      <w:r>
        <w:rPr>
          <w:rFonts w:ascii="Arial" w:eastAsia="Arial" w:hAnsi="Arial" w:cs="Arial"/>
          <w:color w:val="000000"/>
        </w:rPr>
        <w:t>Illustration: A</w:t>
      </w:r>
      <w:r>
        <w:rPr>
          <w:rFonts w:ascii="Arial" w:eastAsia="Arial" w:hAnsi="Arial" w:cs="Arial"/>
          <w:color w:val="000000"/>
        </w:rPr>
        <w:t xml:space="preserve"> district court did not err in determining that it had subject-matter jurisdiction over an employee's claim of a racially hostile work environment in violation of the Florida Civil Rights Act where, although the employee's initial claim was dismissed for f</w:t>
      </w:r>
      <w:r>
        <w:rPr>
          <w:rFonts w:ascii="Arial" w:eastAsia="Arial" w:hAnsi="Arial" w:cs="Arial"/>
          <w:color w:val="000000"/>
        </w:rPr>
        <w:t>ailure to comply with the Act's procedural requirements, the employee obtained a "right to sue" letter from the Florida Commission on Human Relations, and the district court then permitted him to file an amended complaint and reopen the action; while the F</w:t>
      </w:r>
      <w:r>
        <w:rPr>
          <w:rFonts w:ascii="Arial" w:eastAsia="Arial" w:hAnsi="Arial" w:cs="Arial"/>
          <w:color w:val="000000"/>
        </w:rPr>
        <w:t>lorida Civil Rights Act provides that the commencement of a civil action divests the Commission of jurisdiction of the complaint, the Commission is only divested of its jurisdiction when a "proper" civil action is filed, and the employee's initial prematur</w:t>
      </w:r>
      <w:r>
        <w:rPr>
          <w:rFonts w:ascii="Arial" w:eastAsia="Arial" w:hAnsi="Arial" w:cs="Arial"/>
          <w:color w:val="000000"/>
        </w:rPr>
        <w:t>e filing, prior to the expiration of the statutory 180-day period for the Commission to consider his claim, was not such an action.</w:t>
      </w:r>
      <w:r>
        <w:rPr>
          <w:rFonts w:ascii="Arial" w:eastAsia="Arial" w:hAnsi="Arial" w:cs="Arial"/>
          <w:vertAlign w:val="superscript"/>
        </w:rPr>
        <w:footnoteReference w:customMarkFollows="1" w:id="67"/>
        <w:t>n14</w:t>
      </w:r>
    </w:p>
    <w:p w:rsidR="007A6EB4" w:rsidRDefault="006F3363">
      <w:pPr>
        <w:spacing w:before="200" w:line="300" w:lineRule="atLeast"/>
        <w:jc w:val="both"/>
      </w:pPr>
      <w:r>
        <w:rPr>
          <w:rFonts w:ascii="Arial" w:eastAsia="Arial" w:hAnsi="Arial" w:cs="Arial"/>
          <w:color w:val="000000"/>
        </w:rPr>
        <w:lastRenderedPageBreak/>
        <w:t>Except for records or documents that are part of the record of any hearing or court proceeding, all complaints filed with</w:t>
      </w:r>
      <w:r>
        <w:rPr>
          <w:rFonts w:ascii="Arial" w:eastAsia="Arial" w:hAnsi="Arial" w:cs="Arial"/>
          <w:color w:val="000000"/>
        </w:rPr>
        <w:t xml:space="preserve"> the Commission and all records and documents in its custody that relate to and identify a particular person or entity are confidential and may not be disclosed by the Commission except to the parties or in the course of a hearing or proceeding.</w:t>
      </w:r>
      <w:r>
        <w:rPr>
          <w:rFonts w:ascii="Arial" w:eastAsia="Arial" w:hAnsi="Arial" w:cs="Arial"/>
          <w:vertAlign w:val="superscript"/>
        </w:rPr>
        <w:footnoteReference w:customMarkFollows="1" w:id="68"/>
        <w:t>n15</w:t>
      </w:r>
    </w:p>
    <w:p w:rsidR="007A6EB4" w:rsidRDefault="006F3363">
      <w:pPr>
        <w:keepNext/>
        <w:spacing w:before="240" w:line="340" w:lineRule="atLeast"/>
      </w:pPr>
      <w:r>
        <w:br/>
      </w:r>
      <w:r>
        <w:rPr>
          <w:rFonts w:ascii="Arial" w:eastAsia="Arial" w:hAnsi="Arial" w:cs="Arial"/>
          <w:b/>
          <w:color w:val="000000"/>
          <w:sz w:val="28"/>
        </w:rPr>
        <w:t>Refere</w:t>
      </w:r>
      <w:r>
        <w:rPr>
          <w:rFonts w:ascii="Arial" w:eastAsia="Arial" w:hAnsi="Arial" w:cs="Arial"/>
          <w:b/>
          <w:color w:val="000000"/>
          <w:sz w:val="28"/>
        </w:rPr>
        <w:t>nce</w:t>
      </w:r>
    </w:p>
    <w:p w:rsidR="007A6EB4" w:rsidRDefault="006F3363">
      <w:pPr>
        <w:spacing w:line="60" w:lineRule="exact"/>
      </w:pPr>
      <w:r>
        <w:pict>
          <v:line id="_x0000_s1062" style="position:absolute;z-index:25175654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West's A.L.R. Digest, Civil Rights [westkey]1706 to 1709, 1711, 1712, 17</w:t>
      </w:r>
      <w:r>
        <w:rPr>
          <w:rFonts w:ascii="Arial" w:eastAsia="Arial" w:hAnsi="Arial" w:cs="Arial"/>
          <w:color w:val="000000"/>
        </w:rPr>
        <w:t>14, 1715, 1717, 1731, 1732, 1756 to 1758, 1764 to 1774</w:t>
      </w:r>
    </w:p>
    <w:p w:rsidR="007A6EB4" w:rsidRDefault="006F3363">
      <w:pPr>
        <w:spacing w:before="120" w:line="300" w:lineRule="atLeast"/>
      </w:pPr>
      <w:r>
        <w:rPr>
          <w:rFonts w:ascii="Arial" w:eastAsia="Arial" w:hAnsi="Arial" w:cs="Arial"/>
          <w:color w:val="000000"/>
        </w:rPr>
        <w:t>Am. Jur. 2d, Civil Rights §§ 16 to 18</w:t>
      </w:r>
    </w:p>
    <w:p w:rsidR="007A6EB4" w:rsidRDefault="006F3363">
      <w:pPr>
        <w:spacing w:before="120" w:line="300" w:lineRule="atLeast"/>
      </w:pPr>
      <w:r>
        <w:rPr>
          <w:rFonts w:ascii="Arial" w:eastAsia="Arial" w:hAnsi="Arial" w:cs="Arial"/>
          <w:color w:val="000000"/>
        </w:rPr>
        <w:t>C.J.S., Civil Rights §§ 722 to 779</w:t>
      </w:r>
    </w:p>
    <w:p w:rsidR="007A6EB4" w:rsidRDefault="006F3363">
      <w:pPr>
        <w:spacing w:before="120" w:line="300" w:lineRule="atLeast"/>
      </w:pPr>
      <w:r>
        <w:rPr>
          <w:rFonts w:ascii="Arial" w:eastAsia="Arial" w:hAnsi="Arial" w:cs="Arial"/>
          <w:color w:val="000000"/>
        </w:rPr>
        <w:t>West's Key Number Digest, Civil Rights [westkey]1706 to 1709, 1711, 1714, 1715, 1717, 1731, 1732</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63" style="position:absolute;z-index:25180262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Female employee's claims for sex discrimination and retaliation under Title VII and the Florida Civil Rights Act were not based on continuing violations, and thus employee was limited to discrete acts occurring within limitations periods for filing claims </w:t>
      </w:r>
      <w:r>
        <w:rPr>
          <w:rFonts w:ascii="Arial" w:eastAsia="Arial" w:hAnsi="Arial" w:cs="Arial"/>
          <w:color w:val="000000"/>
        </w:rPr>
        <w:t>with the Equal Employment Opportunity Commission (EEOC) and Florida Civil Rights Commission. Civil Rights Act of 1964, § 701 et seq., 42 U.S.C.A. § 2000e et seq.; West's F.S.A. § 760.01 et seq. Wolf v. MWH Constructors, Inc., 34 F. Supp. 3d 1213 (M.D. Fla.</w:t>
      </w:r>
      <w:r>
        <w:rPr>
          <w:rFonts w:ascii="Arial" w:eastAsia="Arial" w:hAnsi="Arial" w:cs="Arial"/>
          <w:color w:val="000000"/>
        </w:rPr>
        <w:t xml:space="preserve"> 2014).</w:t>
      </w:r>
    </w:p>
    <w:p w:rsidR="007A6EB4" w:rsidRDefault="006F3363">
      <w:pPr>
        <w:spacing w:before="200" w:line="300" w:lineRule="atLeast"/>
        <w:jc w:val="both"/>
      </w:pPr>
      <w:r>
        <w:rPr>
          <w:rFonts w:ascii="Arial" w:eastAsia="Arial" w:hAnsi="Arial" w:cs="Arial"/>
          <w:color w:val="000000"/>
        </w:rPr>
        <w:t>Administrative filing period for African-American employee's Equal Employment Opportunity Commission (EEOC) charge, which was filed more than three years after his employment ended, would not be equitably tolled on basis that he did not learn of al</w:t>
      </w:r>
      <w:r>
        <w:rPr>
          <w:rFonts w:ascii="Arial" w:eastAsia="Arial" w:hAnsi="Arial" w:cs="Arial"/>
          <w:color w:val="000000"/>
        </w:rPr>
        <w:t>legedly fraudulent resignation letter until the year he filed charge, and employee's Title VII and Florida Civil Rights Act (FCRA) claims were thus untimely; last discriminatory act was employee's allegedly constructive termination, and at time he requeste</w:t>
      </w:r>
      <w:r>
        <w:rPr>
          <w:rFonts w:ascii="Arial" w:eastAsia="Arial" w:hAnsi="Arial" w:cs="Arial"/>
          <w:color w:val="000000"/>
        </w:rPr>
        <w:t>d accommodation to take class and then resigned, he was or should have been aware that he was apparently being treated differently than Hispanic colleagues. Civil Rights Act of 1964, § 706(e)(1), 42 U.S.C.A. § 2000e-5(e)(1); West's F.S.A. § 760.11(1). Shed</w:t>
      </w:r>
      <w:r>
        <w:rPr>
          <w:rFonts w:ascii="Arial" w:eastAsia="Arial" w:hAnsi="Arial" w:cs="Arial"/>
          <w:color w:val="000000"/>
        </w:rPr>
        <w:t>rick v. District Bd. of Trustees of Miami-Dade College, 941 F. Supp. 2d 1348 (S.D. Fla. 2013).</w:t>
      </w:r>
    </w:p>
    <w:p w:rsidR="007A6EB4" w:rsidRDefault="006F3363">
      <w:pPr>
        <w:spacing w:before="200" w:line="300" w:lineRule="atLeast"/>
        <w:jc w:val="both"/>
      </w:pPr>
      <w:r>
        <w:rPr>
          <w:rFonts w:ascii="Arial" w:eastAsia="Arial" w:hAnsi="Arial" w:cs="Arial"/>
          <w:color w:val="000000"/>
        </w:rPr>
        <w:lastRenderedPageBreak/>
        <w:t xml:space="preserve">Florida Civil Rights Act's (FRCA) 365-day limitations period for filing charge of discrimination with the Equal Employment Opportunity Commission (EEOC) was not </w:t>
      </w:r>
      <w:r>
        <w:rPr>
          <w:rFonts w:ascii="Arial" w:eastAsia="Arial" w:hAnsi="Arial" w:cs="Arial"/>
          <w:color w:val="000000"/>
        </w:rPr>
        <w:t>equitably tolled during time period in which the Criminal Justice Standards and Trading Commission was investigating charges of unlawful and inappropriate conduct against former employee, an assistant warden for the Department of Corrections; employee's co</w:t>
      </w:r>
      <w:r>
        <w:rPr>
          <w:rFonts w:ascii="Arial" w:eastAsia="Arial" w:hAnsi="Arial" w:cs="Arial"/>
          <w:color w:val="000000"/>
        </w:rPr>
        <w:t>mplaint did not allege that he was misled or lulled into action by employer or that he timely asserted his rights mistakenly in the wrong forum, and complaint merely alleged possibility that employee's right to avoid self-incrimination would have been viol</w:t>
      </w:r>
      <w:r>
        <w:rPr>
          <w:rFonts w:ascii="Arial" w:eastAsia="Arial" w:hAnsi="Arial" w:cs="Arial"/>
          <w:color w:val="000000"/>
        </w:rPr>
        <w:t>ated had he filed a timely administrative complaint. U.S.C.A. Const.Amend. 5; West's F.S.A. § 760.11. Williams v. Department of Corrections, 156 So. 3d 563 (Fla. 5th DCA 2015).</w:t>
      </w:r>
    </w:p>
    <w:p w:rsidR="007A6EB4" w:rsidRDefault="006F3363">
      <w:pPr>
        <w:spacing w:before="200" w:line="300" w:lineRule="atLeast"/>
        <w:jc w:val="both"/>
      </w:pPr>
      <w:r>
        <w:rPr>
          <w:rFonts w:ascii="Arial" w:eastAsia="Arial" w:hAnsi="Arial" w:cs="Arial"/>
          <w:color w:val="000000"/>
        </w:rPr>
        <w:t>Equitable estoppel did not apply to render timely a former employee's administr</w:t>
      </w:r>
      <w:r>
        <w:rPr>
          <w:rFonts w:ascii="Arial" w:eastAsia="Arial" w:hAnsi="Arial" w:cs="Arial"/>
          <w:color w:val="000000"/>
        </w:rPr>
        <w:t>ative complaint, which was filed with the Equal Employment Opportunity Commission (EEOC) beyond the 365-day limitations period provided in the Florida Civil Rights Act (FRCA); complaint did not assert that employer engaged in any active deception or miscon</w:t>
      </w:r>
      <w:r>
        <w:rPr>
          <w:rFonts w:ascii="Arial" w:eastAsia="Arial" w:hAnsi="Arial" w:cs="Arial"/>
          <w:color w:val="000000"/>
        </w:rPr>
        <w:t>duct that prevented him from timely filing administrative complaint. West's F.S.A. § 760.11. Williams v. Department of Corrections, 156 So. 3d 563 (Fla. 5th DCA 2015).</w:t>
      </w:r>
    </w:p>
    <w:p w:rsidR="007A6EB4" w:rsidRDefault="006F3363">
      <w:pPr>
        <w:spacing w:before="200" w:line="300" w:lineRule="atLeast"/>
        <w:jc w:val="both"/>
      </w:pPr>
      <w:r>
        <w:rPr>
          <w:rFonts w:ascii="Arial" w:eastAsia="Arial" w:hAnsi="Arial" w:cs="Arial"/>
          <w:color w:val="000000"/>
        </w:rPr>
        <w:t>Notice from Florida Commission on Human Relations (FCHR) informing customer that 180 day</w:t>
      </w:r>
      <w:r>
        <w:rPr>
          <w:rFonts w:ascii="Arial" w:eastAsia="Arial" w:hAnsi="Arial" w:cs="Arial"/>
          <w:color w:val="000000"/>
        </w:rPr>
        <w:t>s had elapsed without FCHR making a probable cause determination on his complaint constituted sufficient evidence to establish that a complaint had been timely filed as a condition precedent to customer's judicial action against restaurant and its employee</w:t>
      </w:r>
      <w:r>
        <w:rPr>
          <w:rFonts w:ascii="Arial" w:eastAsia="Arial" w:hAnsi="Arial" w:cs="Arial"/>
          <w:color w:val="000000"/>
        </w:rPr>
        <w:t xml:space="preserve"> pursuant to the Florida Civil Rights Act. West's F.S.A. § 760.11. Maynard v. Taco Bell of America, Inc., 117 So. 3d 1159 (Fla. 2d DCA 2013).</w:t>
      </w:r>
    </w:p>
    <w:p w:rsidR="007A6EB4" w:rsidRDefault="006F3363">
      <w:pPr>
        <w:spacing w:before="200" w:line="300" w:lineRule="atLeast"/>
        <w:jc w:val="both"/>
      </w:pPr>
      <w:r>
        <w:rPr>
          <w:rFonts w:ascii="Arial" w:eastAsia="Arial" w:hAnsi="Arial" w:cs="Arial"/>
          <w:color w:val="000000"/>
        </w:rPr>
        <w:t>Police officer's termination from employment by city constituted a discrete discriminatory act for which officer w</w:t>
      </w:r>
      <w:r>
        <w:rPr>
          <w:rFonts w:ascii="Arial" w:eastAsia="Arial" w:hAnsi="Arial" w:cs="Arial"/>
          <w:color w:val="000000"/>
        </w:rPr>
        <w:t>as required to file a timely new charge of discrimination with Florida Commission on Human Relations, rather than part of a continuing pattern of discrimination for which officer had already exhausted administrative remedies; termination was a separate and</w:t>
      </w:r>
      <w:r>
        <w:rPr>
          <w:rFonts w:ascii="Arial" w:eastAsia="Arial" w:hAnsi="Arial" w:cs="Arial"/>
          <w:color w:val="000000"/>
        </w:rPr>
        <w:t xml:space="preserve"> different act from the allegations contained in officer's charges of discrimination and the date on which the termination occurred was easily identified. West's F.S.A. § 760.11(1). City of West Palm Beach v. McCray, 91 So. 3d 165 (Fla. 4th DCA 2012).</w:t>
      </w:r>
    </w:p>
    <w:p w:rsidR="007A6EB4" w:rsidRDefault="006F3363">
      <w:pPr>
        <w:spacing w:before="200" w:line="300" w:lineRule="atLeast"/>
        <w:jc w:val="both"/>
      </w:pPr>
      <w:r>
        <w:rPr>
          <w:rFonts w:ascii="Arial" w:eastAsia="Arial" w:hAnsi="Arial" w:cs="Arial"/>
          <w:color w:val="000000"/>
        </w:rPr>
        <w:t>An i</w:t>
      </w:r>
      <w:r>
        <w:rPr>
          <w:rFonts w:ascii="Arial" w:eastAsia="Arial" w:hAnsi="Arial" w:cs="Arial"/>
          <w:color w:val="000000"/>
        </w:rPr>
        <w:t>ndividual claiming discrimination in the workplace must first file an administrative complaint with the Commission on Human Relations (CHR) within 365 days of an alleged violation and exhaust the administrative remedies provided by the Civil Rights Act bef</w:t>
      </w:r>
      <w:r>
        <w:rPr>
          <w:rFonts w:ascii="Arial" w:eastAsia="Arial" w:hAnsi="Arial" w:cs="Arial"/>
          <w:color w:val="000000"/>
        </w:rPr>
        <w:t>ore a civil action asserting discrimination may be brought. West's F.S.A. § 760.11. Sunbeam Television Corp. v. Mitzel, 83 So. 3d 865 (Fla. 3d DCA 2012).</w:t>
      </w:r>
    </w:p>
    <w:p w:rsidR="007A6EB4" w:rsidRDefault="006F3363">
      <w:pPr>
        <w:spacing w:before="200" w:line="300" w:lineRule="atLeast"/>
        <w:jc w:val="both"/>
      </w:pPr>
      <w:r>
        <w:rPr>
          <w:rFonts w:ascii="Arial" w:eastAsia="Arial" w:hAnsi="Arial" w:cs="Arial"/>
          <w:color w:val="000000"/>
        </w:rPr>
        <w:t>Administrative investigation of disability discrimination would not have reasonably arisen from employ</w:t>
      </w:r>
      <w:r>
        <w:rPr>
          <w:rFonts w:ascii="Arial" w:eastAsia="Arial" w:hAnsi="Arial" w:cs="Arial"/>
          <w:color w:val="000000"/>
        </w:rPr>
        <w:t>ee's initial charges of age discrimination and gender discrimination, in Equal Employment Opportunity Commission (EEOC) charge filed by employee before EEOC deferred the employment discrimination investigation to Florida Commission on Human Relations (FCHR</w:t>
      </w:r>
      <w:r>
        <w:rPr>
          <w:rFonts w:ascii="Arial" w:eastAsia="Arial" w:hAnsi="Arial" w:cs="Arial"/>
          <w:color w:val="000000"/>
        </w:rPr>
        <w:t>), and thus, employee failed to exhaust her administrative remedies before bringing disability discrimination claim in action under Florida Civil Rights Act (FCRA); in EEOC charge, employee did not check the disability box nor did she allege that she was d</w:t>
      </w:r>
      <w:r>
        <w:rPr>
          <w:rFonts w:ascii="Arial" w:eastAsia="Arial" w:hAnsi="Arial" w:cs="Arial"/>
          <w:color w:val="000000"/>
        </w:rPr>
        <w:t>iscriminated against on basis of her disability. West's F.S.A. § 760.11. Jones v. Bank of America, 985 F. Supp. 2d 1320 (M.D. Fla. 2013) (applying Florida law).</w:t>
      </w:r>
    </w:p>
    <w:p w:rsidR="007A6EB4" w:rsidRDefault="006F3363">
      <w:pPr>
        <w:spacing w:before="240" w:line="300" w:lineRule="atLeast"/>
      </w:pPr>
      <w:r>
        <w:lastRenderedPageBreak/>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64" style="position:absolute;left:0;text-align:left;z-index:25184665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49"/>
          <w:headerReference w:type="default" r:id="rId50"/>
          <w:footerReference w:type="even" r:id="rId51"/>
          <w:footerReference w:type="default" r:id="rId52"/>
          <w:headerReference w:type="first" r:id="rId53"/>
          <w:footerReference w:type="first" r:id="rId54"/>
          <w:pgSz w:w="12240" w:h="15840"/>
          <w:pgMar w:top="840" w:right="1000" w:bottom="840" w:left="1000" w:header="400" w:footer="400" w:gutter="0"/>
          <w:cols w:space="720"/>
          <w:titlePg/>
        </w:sectPr>
      </w:pPr>
    </w:p>
    <w:p w:rsidR="007A6EB4" w:rsidRDefault="007A6EB4">
      <w:bookmarkStart w:id="8" w:name="Bookmark_8"/>
      <w:bookmarkEnd w:id="8"/>
    </w:p>
    <w:p w:rsidR="007A6EB4" w:rsidRDefault="006F3363">
      <w:r>
        <w:pict>
          <v:shape id="_x0000_i1032"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7</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 xml:space="preserve">B. Administrative and Civil Remedies Under Florida </w:t>
      </w:r>
      <w:r>
        <w:rPr>
          <w:rFonts w:ascii="Arial" w:eastAsia="Arial" w:hAnsi="Arial" w:cs="Arial"/>
          <w:b/>
          <w:i/>
          <w:color w:val="000000"/>
          <w:sz w:val="22"/>
        </w:rPr>
        <w:t>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66" style="position:absolute;z-index:25166540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7 Civil action; administrative hearing</w:t>
      </w:r>
    </w:p>
    <w:p w:rsidR="007A6EB4" w:rsidRDefault="006F3363">
      <w:pPr>
        <w:spacing w:line="60" w:lineRule="exact"/>
      </w:pPr>
      <w:r>
        <w:pict>
          <v:line id="_x0000_s1067" style="position:absolute;z-index:25171148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In a civil action filed under the remedies provision of the Florida Civil Rights Act, the court may:</w:t>
      </w:r>
      <w:r>
        <w:rPr>
          <w:rFonts w:ascii="Arial" w:eastAsia="Arial" w:hAnsi="Arial" w:cs="Arial"/>
          <w:vertAlign w:val="superscript"/>
        </w:rPr>
        <w:footnoteReference w:customMarkFollows="1" w:id="69"/>
        <w:t>n1</w:t>
      </w:r>
    </w:p>
    <w:p w:rsidR="007A6EB4" w:rsidRDefault="006F3363">
      <w:pPr>
        <w:spacing w:before="200" w:line="300" w:lineRule="atLeast"/>
        <w:jc w:val="both"/>
      </w:pPr>
      <w:r>
        <w:rPr>
          <w:rFonts w:ascii="Arial" w:eastAsia="Arial" w:hAnsi="Arial" w:cs="Arial"/>
          <w:color w:val="000000"/>
        </w:rPr>
        <w:t xml:space="preserve">.issue an order prohibiting the </w:t>
      </w:r>
      <w:r>
        <w:rPr>
          <w:rFonts w:ascii="Arial" w:eastAsia="Arial" w:hAnsi="Arial" w:cs="Arial"/>
          <w:color w:val="000000"/>
        </w:rPr>
        <w:t>discriminatory practice</w:t>
      </w:r>
    </w:p>
    <w:p w:rsidR="007A6EB4" w:rsidRDefault="006F3363">
      <w:pPr>
        <w:spacing w:before="200" w:line="300" w:lineRule="atLeast"/>
        <w:jc w:val="both"/>
      </w:pPr>
      <w:r>
        <w:rPr>
          <w:rFonts w:ascii="Arial" w:eastAsia="Arial" w:hAnsi="Arial" w:cs="Arial"/>
          <w:color w:val="000000"/>
        </w:rPr>
        <w:t>.provide affirmative relief from the effects of the practice, including backpay</w:t>
      </w:r>
    </w:p>
    <w:p w:rsidR="007A6EB4" w:rsidRDefault="006F3363">
      <w:pPr>
        <w:spacing w:before="200" w:line="300" w:lineRule="atLeast"/>
        <w:jc w:val="both"/>
      </w:pPr>
      <w:r>
        <w:rPr>
          <w:rFonts w:ascii="Arial" w:eastAsia="Arial" w:hAnsi="Arial" w:cs="Arial"/>
          <w:color w:val="000000"/>
        </w:rPr>
        <w:t>.award compensatory damages including, but not limited to, damages for mental anguish, loss of dignity, and any other intangible injuries</w:t>
      </w:r>
    </w:p>
    <w:p w:rsidR="007A6EB4" w:rsidRDefault="006F3363">
      <w:pPr>
        <w:spacing w:before="200" w:line="300" w:lineRule="atLeast"/>
        <w:jc w:val="both"/>
      </w:pPr>
      <w:r>
        <w:rPr>
          <w:rFonts w:ascii="Arial" w:eastAsia="Arial" w:hAnsi="Arial" w:cs="Arial"/>
          <w:color w:val="000000"/>
        </w:rPr>
        <w:t>.award punitiv</w:t>
      </w:r>
      <w:r>
        <w:rPr>
          <w:rFonts w:ascii="Arial" w:eastAsia="Arial" w:hAnsi="Arial" w:cs="Arial"/>
          <w:color w:val="000000"/>
        </w:rPr>
        <w:t>e damages up to a statutory limit</w:t>
      </w:r>
    </w:p>
    <w:p w:rsidR="007A6EB4" w:rsidRDefault="006F3363">
      <w:pPr>
        <w:spacing w:before="200" w:line="300" w:lineRule="atLeast"/>
        <w:jc w:val="both"/>
      </w:pPr>
      <w:r>
        <w:rPr>
          <w:rFonts w:ascii="Arial" w:eastAsia="Arial" w:hAnsi="Arial" w:cs="Arial"/>
          <w:color w:val="000000"/>
        </w:rPr>
        <w:t>The State and its agencies and subdivisions, however, may not be liable for punitive damages, and the total amount of recovery against the State and its agencies and subdivisions may not exceed certain statutory limitation</w:t>
      </w:r>
      <w:r>
        <w:rPr>
          <w:rFonts w:ascii="Arial" w:eastAsia="Arial" w:hAnsi="Arial" w:cs="Arial"/>
          <w:color w:val="000000"/>
        </w:rPr>
        <w:t>s.</w:t>
      </w:r>
      <w:r>
        <w:rPr>
          <w:rFonts w:ascii="Arial" w:eastAsia="Arial" w:hAnsi="Arial" w:cs="Arial"/>
          <w:vertAlign w:val="superscript"/>
        </w:rPr>
        <w:footnoteReference w:customMarkFollows="1" w:id="70"/>
        <w:t>n2</w:t>
      </w:r>
    </w:p>
    <w:p w:rsidR="007A6EB4" w:rsidRDefault="006F3363">
      <w:pPr>
        <w:spacing w:before="200" w:line="300" w:lineRule="atLeast"/>
        <w:jc w:val="both"/>
      </w:pPr>
      <w:r>
        <w:rPr>
          <w:rFonts w:ascii="Arial" w:eastAsia="Arial" w:hAnsi="Arial" w:cs="Arial"/>
          <w:color w:val="000000"/>
        </w:rPr>
        <w:t>Illustration: The statutory cap on recoveries against the State or its agencies included both the compensatory damages and attorney's fees awarded to a former employee of the state university who brought a successful discrimination lawsuit under the F</w:t>
      </w:r>
      <w:r>
        <w:rPr>
          <w:rFonts w:ascii="Arial" w:eastAsia="Arial" w:hAnsi="Arial" w:cs="Arial"/>
          <w:color w:val="000000"/>
        </w:rPr>
        <w:t>lorida Civil Rights Act where the Act was clear that the cap applied to the "total amount of recovery," and the former employee was free to seek any excess from the legislature.</w:t>
      </w:r>
      <w:r>
        <w:rPr>
          <w:rFonts w:ascii="Arial" w:eastAsia="Arial" w:hAnsi="Arial" w:cs="Arial"/>
          <w:vertAlign w:val="superscript"/>
        </w:rPr>
        <w:footnoteReference w:customMarkFollows="1" w:id="71"/>
        <w:t>n3</w:t>
      </w:r>
    </w:p>
    <w:p w:rsidR="007A6EB4" w:rsidRDefault="006F3363">
      <w:pPr>
        <w:spacing w:before="200" w:line="300" w:lineRule="atLeast"/>
        <w:jc w:val="both"/>
      </w:pPr>
      <w:r>
        <w:rPr>
          <w:rFonts w:ascii="Arial" w:eastAsia="Arial" w:hAnsi="Arial" w:cs="Arial"/>
          <w:color w:val="000000"/>
        </w:rPr>
        <w:lastRenderedPageBreak/>
        <w:t xml:space="preserve">No liability for backpay may accrue from a date more than two years </w:t>
      </w:r>
      <w:r>
        <w:rPr>
          <w:rFonts w:ascii="Arial" w:eastAsia="Arial" w:hAnsi="Arial" w:cs="Arial"/>
          <w:color w:val="000000"/>
        </w:rPr>
        <w:t>prior to the filing of a complaint with the Commission on Human Relations.</w:t>
      </w:r>
      <w:r>
        <w:rPr>
          <w:rFonts w:ascii="Arial" w:eastAsia="Arial" w:hAnsi="Arial" w:cs="Arial"/>
          <w:vertAlign w:val="superscript"/>
        </w:rPr>
        <w:footnoteReference w:customMarkFollows="1" w:id="72"/>
        <w:t>n4</w:t>
      </w:r>
    </w:p>
    <w:p w:rsidR="007A6EB4" w:rsidRDefault="006F3363">
      <w:pPr>
        <w:spacing w:before="200" w:line="300" w:lineRule="atLeast"/>
        <w:jc w:val="both"/>
      </w:pPr>
      <w:r>
        <w:rPr>
          <w:rFonts w:ascii="Arial" w:eastAsia="Arial" w:hAnsi="Arial" w:cs="Arial"/>
          <w:color w:val="000000"/>
        </w:rPr>
        <w:t>Practice Tip: The court may allow the prevailing party a reasonable attorney's fees as part of the costs.</w:t>
      </w:r>
      <w:r>
        <w:rPr>
          <w:rFonts w:ascii="Arial" w:eastAsia="Arial" w:hAnsi="Arial" w:cs="Arial"/>
          <w:vertAlign w:val="superscript"/>
        </w:rPr>
        <w:footnoteReference w:customMarkFollows="1" w:id="73"/>
        <w:t>n5</w:t>
      </w:r>
      <w:r>
        <w:rPr>
          <w:rFonts w:ascii="Arial" w:eastAsia="Arial" w:hAnsi="Arial" w:cs="Arial"/>
          <w:color w:val="000000"/>
        </w:rPr>
        <w:t xml:space="preserve"> However, a trial court errs in awarding a contingency fee multiplier, u</w:t>
      </w:r>
      <w:r>
        <w:rPr>
          <w:rFonts w:ascii="Arial" w:eastAsia="Arial" w:hAnsi="Arial" w:cs="Arial"/>
          <w:color w:val="000000"/>
        </w:rPr>
        <w:t>nder the Florida Civil Rights Act, where federal law specifically prohibits the award of such a multiplier in Title VII actions, and the Florida Civil Rights Act expressly states that its attorney's fees provision is to be construed in conformity with Fede</w:t>
      </w:r>
      <w:r>
        <w:rPr>
          <w:rFonts w:ascii="Arial" w:eastAsia="Arial" w:hAnsi="Arial" w:cs="Arial"/>
          <w:color w:val="000000"/>
        </w:rPr>
        <w:t>ral Title VII case law.</w:t>
      </w:r>
      <w:r>
        <w:rPr>
          <w:rFonts w:ascii="Arial" w:eastAsia="Arial" w:hAnsi="Arial" w:cs="Arial"/>
          <w:vertAlign w:val="superscript"/>
        </w:rPr>
        <w:footnoteReference w:customMarkFollows="1" w:id="74"/>
        <w:t>n6</w:t>
      </w:r>
    </w:p>
    <w:p w:rsidR="007A6EB4" w:rsidRDefault="006F3363">
      <w:pPr>
        <w:spacing w:before="200" w:line="300" w:lineRule="atLeast"/>
        <w:jc w:val="both"/>
      </w:pPr>
      <w:r>
        <w:rPr>
          <w:rFonts w:ascii="Arial" w:eastAsia="Arial" w:hAnsi="Arial" w:cs="Arial"/>
          <w:color w:val="000000"/>
        </w:rPr>
        <w:t>Where the aggrieved person seeks compensatory or punitive damages, the right to trial by jury is preserved; any party may demand a trial by jury.</w:t>
      </w:r>
      <w:r>
        <w:rPr>
          <w:rFonts w:ascii="Arial" w:eastAsia="Arial" w:hAnsi="Arial" w:cs="Arial"/>
          <w:vertAlign w:val="superscript"/>
        </w:rPr>
        <w:footnoteReference w:customMarkFollows="1" w:id="75"/>
        <w:t>n7</w:t>
      </w:r>
      <w:r>
        <w:rPr>
          <w:rFonts w:ascii="Arial" w:eastAsia="Arial" w:hAnsi="Arial" w:cs="Arial"/>
          <w:color w:val="000000"/>
        </w:rPr>
        <w:t xml:space="preserve"> The Commission's determination of reasonable cause is not admissible into evidence</w:t>
      </w:r>
      <w:r>
        <w:rPr>
          <w:rFonts w:ascii="Arial" w:eastAsia="Arial" w:hAnsi="Arial" w:cs="Arial"/>
          <w:color w:val="000000"/>
        </w:rPr>
        <w:t xml:space="preserve"> in any civil proceeding, including any hearing or trial, except to establish for the court the right to maintain the private right of action.</w:t>
      </w:r>
      <w:r>
        <w:rPr>
          <w:rFonts w:ascii="Arial" w:eastAsia="Arial" w:hAnsi="Arial" w:cs="Arial"/>
          <w:vertAlign w:val="superscript"/>
        </w:rPr>
        <w:footnoteReference w:customMarkFollows="1" w:id="76"/>
        <w:t>n8</w:t>
      </w:r>
    </w:p>
    <w:p w:rsidR="007A6EB4" w:rsidRDefault="006F3363">
      <w:pPr>
        <w:spacing w:before="200" w:line="300" w:lineRule="atLeast"/>
        <w:jc w:val="both"/>
      </w:pPr>
      <w:r>
        <w:rPr>
          <w:rFonts w:ascii="Arial" w:eastAsia="Arial" w:hAnsi="Arial" w:cs="Arial"/>
          <w:color w:val="000000"/>
        </w:rPr>
        <w:t xml:space="preserve">A civil action must be commenced no later than one year after the date of determination of reasonable cause by </w:t>
      </w:r>
      <w:r>
        <w:rPr>
          <w:rFonts w:ascii="Arial" w:eastAsia="Arial" w:hAnsi="Arial" w:cs="Arial"/>
          <w:color w:val="000000"/>
        </w:rPr>
        <w:t>the Commission.</w:t>
      </w:r>
      <w:r>
        <w:rPr>
          <w:rFonts w:ascii="Arial" w:eastAsia="Arial" w:hAnsi="Arial" w:cs="Arial"/>
          <w:vertAlign w:val="superscript"/>
        </w:rPr>
        <w:footnoteReference w:customMarkFollows="1" w:id="77"/>
        <w:t>n9</w:t>
      </w:r>
      <w:r>
        <w:rPr>
          <w:rFonts w:ascii="Arial" w:eastAsia="Arial" w:hAnsi="Arial" w:cs="Arial"/>
          <w:color w:val="000000"/>
        </w:rPr>
        <w:t xml:space="preserve"> The commencement of the action divests the Commission of jurisdiction of the complaint except that the Commission may intervene in the civil action as a matter of right.</w:t>
      </w:r>
      <w:r>
        <w:rPr>
          <w:rFonts w:ascii="Arial" w:eastAsia="Arial" w:hAnsi="Arial" w:cs="Arial"/>
          <w:vertAlign w:val="superscript"/>
        </w:rPr>
        <w:footnoteReference w:customMarkFollows="1" w:id="78"/>
        <w:t>n10</w:t>
      </w:r>
    </w:p>
    <w:p w:rsidR="007A6EB4" w:rsidRDefault="006F3363">
      <w:pPr>
        <w:spacing w:before="200" w:line="300" w:lineRule="atLeast"/>
        <w:jc w:val="both"/>
      </w:pPr>
      <w:r>
        <w:rPr>
          <w:rFonts w:ascii="Arial" w:eastAsia="Arial" w:hAnsi="Arial" w:cs="Arial"/>
          <w:color w:val="000000"/>
        </w:rPr>
        <w:t>If the aggrieved party requests an administrative hearing, it mus</w:t>
      </w:r>
      <w:r>
        <w:rPr>
          <w:rFonts w:ascii="Arial" w:eastAsia="Arial" w:hAnsi="Arial" w:cs="Arial"/>
          <w:color w:val="000000"/>
        </w:rPr>
        <w:t>t be conducted under the Administrative Procedure Act's provisions for proceedings in which the substantial interests of a party are determined.</w:t>
      </w:r>
      <w:r>
        <w:rPr>
          <w:rFonts w:ascii="Arial" w:eastAsia="Arial" w:hAnsi="Arial" w:cs="Arial"/>
          <w:vertAlign w:val="superscript"/>
        </w:rPr>
        <w:footnoteReference w:customMarkFollows="1" w:id="79"/>
        <w:t>n11</w:t>
      </w:r>
      <w:r>
        <w:rPr>
          <w:rFonts w:ascii="Arial" w:eastAsia="Arial" w:hAnsi="Arial" w:cs="Arial"/>
          <w:color w:val="000000"/>
        </w:rPr>
        <w:t xml:space="preserve"> The Commission may hear the case, as a body or by a commissioner, or may request that it be heard by an admi</w:t>
      </w:r>
      <w:r>
        <w:rPr>
          <w:rFonts w:ascii="Arial" w:eastAsia="Arial" w:hAnsi="Arial" w:cs="Arial"/>
          <w:color w:val="000000"/>
        </w:rPr>
        <w:t>nistrative-law judge.</w:t>
      </w:r>
      <w:r>
        <w:rPr>
          <w:rFonts w:ascii="Arial" w:eastAsia="Arial" w:hAnsi="Arial" w:cs="Arial"/>
          <w:vertAlign w:val="superscript"/>
        </w:rPr>
        <w:footnoteReference w:customMarkFollows="1" w:id="80"/>
        <w:t>n12</w:t>
      </w:r>
      <w:r>
        <w:rPr>
          <w:rFonts w:ascii="Arial" w:eastAsia="Arial" w:hAnsi="Arial" w:cs="Arial"/>
          <w:color w:val="000000"/>
        </w:rPr>
        <w:t xml:space="preserve"> If the Commissioner or the administrative-law judge finds that a violation of the Civil Rights Act has occurred, the Commissioner or judge must issue an appropriate proposed (Commissioner) or recommended (administrative-law judge) </w:t>
      </w:r>
      <w:r>
        <w:rPr>
          <w:rFonts w:ascii="Arial" w:eastAsia="Arial" w:hAnsi="Arial" w:cs="Arial"/>
          <w:color w:val="000000"/>
        </w:rPr>
        <w:t>order prohibiting the practice and providing affirmative relief from the effects of the practice, including backpay,</w:t>
      </w:r>
      <w:r>
        <w:rPr>
          <w:rFonts w:ascii="Arial" w:eastAsia="Arial" w:hAnsi="Arial" w:cs="Arial"/>
          <w:vertAlign w:val="superscript"/>
        </w:rPr>
        <w:footnoteReference w:customMarkFollows="1" w:id="81"/>
        <w:t>n13</w:t>
      </w:r>
      <w:r>
        <w:rPr>
          <w:rFonts w:ascii="Arial" w:eastAsia="Arial" w:hAnsi="Arial" w:cs="Arial"/>
          <w:color w:val="000000"/>
        </w:rPr>
        <w:t xml:space="preserve"> not to accrue from a date more than two years prior to the filing of the complaint.</w:t>
      </w:r>
      <w:r>
        <w:rPr>
          <w:rFonts w:ascii="Arial" w:eastAsia="Arial" w:hAnsi="Arial" w:cs="Arial"/>
          <w:vertAlign w:val="superscript"/>
        </w:rPr>
        <w:footnoteReference w:customMarkFollows="1" w:id="82"/>
        <w:t>n14</w:t>
      </w:r>
      <w:r>
        <w:rPr>
          <w:rFonts w:ascii="Arial" w:eastAsia="Arial" w:hAnsi="Arial" w:cs="Arial"/>
          <w:color w:val="000000"/>
        </w:rPr>
        <w:t xml:space="preserve"> Within 90 days of the date when the recommended o</w:t>
      </w:r>
      <w:r>
        <w:rPr>
          <w:rFonts w:ascii="Arial" w:eastAsia="Arial" w:hAnsi="Arial" w:cs="Arial"/>
          <w:color w:val="000000"/>
        </w:rPr>
        <w:t>r proposed order is rendered, or longer with the consent of all parties, the Commission must issue a final order by adopting, rejecting, or modifying the recommended order.</w:t>
      </w:r>
      <w:r>
        <w:rPr>
          <w:rFonts w:ascii="Arial" w:eastAsia="Arial" w:hAnsi="Arial" w:cs="Arial"/>
          <w:vertAlign w:val="superscript"/>
        </w:rPr>
        <w:footnoteReference w:customMarkFollows="1" w:id="83"/>
        <w:t>n15</w:t>
      </w:r>
      <w:r>
        <w:rPr>
          <w:rFonts w:ascii="Arial" w:eastAsia="Arial" w:hAnsi="Arial" w:cs="Arial"/>
          <w:color w:val="000000"/>
        </w:rPr>
        <w:t xml:space="preserve"> An administrative hearing must be requested no later than 35 days after the date</w:t>
      </w:r>
      <w:r>
        <w:rPr>
          <w:rFonts w:ascii="Arial" w:eastAsia="Arial" w:hAnsi="Arial" w:cs="Arial"/>
          <w:color w:val="000000"/>
        </w:rPr>
        <w:t xml:space="preserve"> of determination of reasonable cause by </w:t>
      </w:r>
      <w:r>
        <w:rPr>
          <w:rFonts w:ascii="Arial" w:eastAsia="Arial" w:hAnsi="Arial" w:cs="Arial"/>
          <w:color w:val="000000"/>
        </w:rPr>
        <w:lastRenderedPageBreak/>
        <w:t>the Commission.</w:t>
      </w:r>
      <w:r>
        <w:rPr>
          <w:rFonts w:ascii="Arial" w:eastAsia="Arial" w:hAnsi="Arial" w:cs="Arial"/>
          <w:vertAlign w:val="superscript"/>
        </w:rPr>
        <w:footnoteReference w:customMarkFollows="1" w:id="84"/>
        <w:t>n16</w:t>
      </w:r>
      <w:r>
        <w:rPr>
          <w:rFonts w:ascii="Arial" w:eastAsia="Arial" w:hAnsi="Arial" w:cs="Arial"/>
          <w:color w:val="000000"/>
        </w:rPr>
        <w:t xml:space="preserve"> In any administrative action or proceeding, the Commission may allow the prevailing party a reasonable attorney's fees as part of the costs.</w:t>
      </w:r>
      <w:r>
        <w:rPr>
          <w:rFonts w:ascii="Arial" w:eastAsia="Arial" w:hAnsi="Arial" w:cs="Arial"/>
          <w:vertAlign w:val="superscript"/>
        </w:rPr>
        <w:footnoteReference w:customMarkFollows="1" w:id="85"/>
        <w:t>n17</w:t>
      </w:r>
    </w:p>
    <w:p w:rsidR="007A6EB4" w:rsidRDefault="006F3363">
      <w:pPr>
        <w:spacing w:before="200" w:line="300" w:lineRule="atLeast"/>
        <w:jc w:val="both"/>
      </w:pPr>
      <w:r>
        <w:rPr>
          <w:rFonts w:ascii="Arial" w:eastAsia="Arial" w:hAnsi="Arial" w:cs="Arial"/>
          <w:color w:val="000000"/>
        </w:rPr>
        <w:t>Observation: A technical defect in the administrativ</w:t>
      </w:r>
      <w:r>
        <w:rPr>
          <w:rFonts w:ascii="Arial" w:eastAsia="Arial" w:hAnsi="Arial" w:cs="Arial"/>
          <w:color w:val="000000"/>
        </w:rPr>
        <w:t>e process, such as a deficient verification of the administrative complaint, is not a jurisdictional bar to an employment discrimination lawsuit if the Commission, Equal Employment Opportunity Commission, or an employer acts upon the complaint without obje</w:t>
      </w:r>
      <w:r>
        <w:rPr>
          <w:rFonts w:ascii="Arial" w:eastAsia="Arial" w:hAnsi="Arial" w:cs="Arial"/>
          <w:color w:val="000000"/>
        </w:rPr>
        <w:t>ction.</w:t>
      </w:r>
      <w:r>
        <w:rPr>
          <w:rFonts w:ascii="Arial" w:eastAsia="Arial" w:hAnsi="Arial" w:cs="Arial"/>
          <w:vertAlign w:val="superscript"/>
        </w:rPr>
        <w:footnoteReference w:customMarkFollows="1" w:id="86"/>
        <w:t>n18</w:t>
      </w:r>
    </w:p>
    <w:p w:rsidR="007A6EB4" w:rsidRDefault="006F3363">
      <w:pPr>
        <w:spacing w:before="200" w:line="300" w:lineRule="atLeast"/>
        <w:jc w:val="both"/>
      </w:pPr>
      <w:r>
        <w:rPr>
          <w:rFonts w:ascii="Arial" w:eastAsia="Arial" w:hAnsi="Arial" w:cs="Arial"/>
          <w:color w:val="000000"/>
        </w:rPr>
        <w:t xml:space="preserve">If the Commission determines that there is no reasonable cause to believe that a violation of the Civil Rights Act has occurred, it must dismiss the complaint. The aggrieved person may request an administrative hearing, but any such request must </w:t>
      </w:r>
      <w:r>
        <w:rPr>
          <w:rFonts w:ascii="Arial" w:eastAsia="Arial" w:hAnsi="Arial" w:cs="Arial"/>
          <w:color w:val="000000"/>
        </w:rPr>
        <w:t>be made within 35 days of the date of determination of reasonable cause, or the claim will be barred, and the hearing must be heard by an administrative-law judge and not by the Commission or a commissioner.</w:t>
      </w:r>
      <w:r>
        <w:rPr>
          <w:rFonts w:ascii="Arial" w:eastAsia="Arial" w:hAnsi="Arial" w:cs="Arial"/>
          <w:vertAlign w:val="superscript"/>
        </w:rPr>
        <w:footnoteReference w:customMarkFollows="1" w:id="87"/>
        <w:t>n19</w:t>
      </w:r>
      <w:r>
        <w:rPr>
          <w:rFonts w:ascii="Arial" w:eastAsia="Arial" w:hAnsi="Arial" w:cs="Arial"/>
          <w:color w:val="000000"/>
        </w:rPr>
        <w:t xml:space="preserve"> A complainant's failure to follow Florida's a</w:t>
      </w:r>
      <w:r>
        <w:rPr>
          <w:rFonts w:ascii="Arial" w:eastAsia="Arial" w:hAnsi="Arial" w:cs="Arial"/>
          <w:color w:val="000000"/>
        </w:rPr>
        <w:t>dministrative procedures and to request an administrative hearing within 35 days of a no-cause determination on his or her discrimination complaint bars the complainant from bringing a civil suit under the Florida Civil Rights Act.</w:t>
      </w:r>
      <w:r>
        <w:rPr>
          <w:rFonts w:ascii="Arial" w:eastAsia="Arial" w:hAnsi="Arial" w:cs="Arial"/>
          <w:vertAlign w:val="superscript"/>
        </w:rPr>
        <w:footnoteReference w:customMarkFollows="1" w:id="88"/>
        <w:t>n20</w:t>
      </w:r>
    </w:p>
    <w:p w:rsidR="007A6EB4" w:rsidRDefault="006F3363">
      <w:pPr>
        <w:spacing w:before="200" w:line="300" w:lineRule="atLeast"/>
        <w:jc w:val="both"/>
      </w:pPr>
      <w:r>
        <w:rPr>
          <w:rFonts w:ascii="Arial" w:eastAsia="Arial" w:hAnsi="Arial" w:cs="Arial"/>
          <w:color w:val="000000"/>
        </w:rPr>
        <w:t>Illustrations: An ind</w:t>
      </w:r>
      <w:r>
        <w:rPr>
          <w:rFonts w:ascii="Arial" w:eastAsia="Arial" w:hAnsi="Arial" w:cs="Arial"/>
          <w:color w:val="000000"/>
        </w:rPr>
        <w:t>ividual failed to exhaust her administrative remedies under the Florida Civil Rights Act where, although she timely filed a complaint with the Commission, the Commission apparently found that there was no reasonable cause to believe that a discriminatory p</w:t>
      </w:r>
      <w:r>
        <w:rPr>
          <w:rFonts w:ascii="Arial" w:eastAsia="Arial" w:hAnsi="Arial" w:cs="Arial"/>
          <w:color w:val="000000"/>
        </w:rPr>
        <w:t>ractice had occurred in violation of the Act and it directed her to advise the Commission within 10 days if the information on which it had based its decision was incorrect, but there was no evidence in the record that the individual provided the Commissio</w:t>
      </w:r>
      <w:r>
        <w:rPr>
          <w:rFonts w:ascii="Arial" w:eastAsia="Arial" w:hAnsi="Arial" w:cs="Arial"/>
          <w:color w:val="000000"/>
        </w:rPr>
        <w:t>n with further information within 10 days under the terms of the letter or that she requested an administrative hearing within 35 days.</w:t>
      </w:r>
      <w:r>
        <w:rPr>
          <w:rFonts w:ascii="Arial" w:eastAsia="Arial" w:hAnsi="Arial" w:cs="Arial"/>
          <w:vertAlign w:val="superscript"/>
        </w:rPr>
        <w:footnoteReference w:customMarkFollows="1" w:id="89"/>
        <w:t>n21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68" style="position:absolute;z-index:25175756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[westkey]1706 to 1709, 1711, 1712, 1714, 1715, 1717, 1731, </w:t>
      </w:r>
      <w:r>
        <w:rPr>
          <w:rFonts w:ascii="Arial" w:eastAsia="Arial" w:hAnsi="Arial" w:cs="Arial"/>
          <w:color w:val="000000"/>
        </w:rPr>
        <w:t>1732, 1756 to 1758, 1764 to 1774</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West's A.L.R. Digest,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Am. Jur. 2d, Civil Rights §§ 16 to 18</w:t>
      </w:r>
    </w:p>
    <w:p w:rsidR="007A6EB4" w:rsidRDefault="006F3363">
      <w:pPr>
        <w:spacing w:before="120" w:line="300" w:lineRule="atLeast"/>
      </w:pPr>
      <w:r>
        <w:rPr>
          <w:rFonts w:ascii="Arial" w:eastAsia="Arial" w:hAnsi="Arial" w:cs="Arial"/>
          <w:color w:val="000000"/>
        </w:rPr>
        <w:t>C.J.S., Civi</w:t>
      </w:r>
      <w:r>
        <w:rPr>
          <w:rFonts w:ascii="Arial" w:eastAsia="Arial" w:hAnsi="Arial" w:cs="Arial"/>
          <w:color w:val="000000"/>
        </w:rPr>
        <w:t>l Rights §§ 722 to 779</w:t>
      </w:r>
    </w:p>
    <w:p w:rsidR="007A6EB4" w:rsidRDefault="006F3363">
      <w:pPr>
        <w:spacing w:before="120" w:line="300" w:lineRule="atLeast"/>
      </w:pPr>
      <w:r>
        <w:rPr>
          <w:rFonts w:ascii="Arial" w:eastAsia="Arial" w:hAnsi="Arial" w:cs="Arial"/>
          <w:color w:val="000000"/>
        </w:rPr>
        <w:lastRenderedPageBreak/>
        <w:t>West's Key Number Digest, Civil Rights [westkey]1711, 1714, 1715, 1717, 1731, 1732, 1746, 1756 to 1758, 1764 to 1774</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69" style="position:absolute;z-index:25180364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Intake questionnaire that employee filed with Equal Employment Opportunity Commission (EEOC), b</w:t>
      </w:r>
      <w:r>
        <w:rPr>
          <w:rFonts w:ascii="Arial" w:eastAsia="Arial" w:hAnsi="Arial" w:cs="Arial"/>
          <w:color w:val="000000"/>
        </w:rPr>
        <w:t xml:space="preserve">efore EEOC deferred the employment discrimination investigation to Florida Commission on Human Relations (FCHR), was not a discrimination charge, for purposes of determining whether FCHR's no-cause determination was issued more than 180 days after charge, </w:t>
      </w:r>
      <w:r>
        <w:rPr>
          <w:rFonts w:ascii="Arial" w:eastAsia="Arial" w:hAnsi="Arial" w:cs="Arial"/>
          <w:color w:val="000000"/>
        </w:rPr>
        <w:t>so that employee was excused from requesting an administrative hearing within 35 days of FCHR's determination, as part of exhaustion of administrative remedies with respect to employment discrimination claim under Florida Civil Rights Act (FCRA); intake qu</w:t>
      </w:r>
      <w:r>
        <w:rPr>
          <w:rFonts w:ascii="Arial" w:eastAsia="Arial" w:hAnsi="Arial" w:cs="Arial"/>
          <w:color w:val="000000"/>
        </w:rPr>
        <w:t>estionnaire was not signed by employee under penalty of perjury, and employee later filed a timely EEOC charge, indicating that she did not intend her intake questionnaire to function as a charge. 29 C.F.R. § 1601.12; West's F.S.A. § 760.11(3, 4, 7, 8). Jo</w:t>
      </w:r>
      <w:r>
        <w:rPr>
          <w:rFonts w:ascii="Arial" w:eastAsia="Arial" w:hAnsi="Arial" w:cs="Arial"/>
          <w:color w:val="000000"/>
        </w:rPr>
        <w:t>nes v. Bank of America, 985 F. Supp. 2d 1320 (M.D. Fla. 2013).</w:t>
      </w:r>
    </w:p>
    <w:p w:rsidR="007A6EB4" w:rsidRDefault="006F3363">
      <w:pPr>
        <w:spacing w:before="200" w:line="300" w:lineRule="atLeast"/>
        <w:jc w:val="both"/>
      </w:pPr>
      <w:r>
        <w:rPr>
          <w:rFonts w:ascii="Arial" w:eastAsia="Arial" w:hAnsi="Arial" w:cs="Arial"/>
          <w:color w:val="000000"/>
        </w:rPr>
        <w:t>African-American custodial employee at community college, whose Equal Employment Opportunity Commission (EEOC) charge alleged only discrimination based on disability, failed to exhaust race dis</w:t>
      </w:r>
      <w:r>
        <w:rPr>
          <w:rFonts w:ascii="Arial" w:eastAsia="Arial" w:hAnsi="Arial" w:cs="Arial"/>
          <w:color w:val="000000"/>
        </w:rPr>
        <w:t>crimination and retaliation claims under Title VII and race discrimination claim under Florida Civil Rights Act (FCRA). Civil Rights Act of 1964, §§ 703(a)(1), 704(a), 42 U.S.C.A. §§ 2000e-2(a)(1), 2000e-3(a); West's F.S.A. §§ 760.10(1)(a), 760.11. Shedric</w:t>
      </w:r>
      <w:r>
        <w:rPr>
          <w:rFonts w:ascii="Arial" w:eastAsia="Arial" w:hAnsi="Arial" w:cs="Arial"/>
          <w:color w:val="000000"/>
        </w:rPr>
        <w:t>k v. District Bd. of Trustees of Miami-Dade College, 941 F. Supp. 2d 1348 (S.D. Fla. 2013).</w:t>
      </w:r>
    </w:p>
    <w:p w:rsidR="007A6EB4" w:rsidRDefault="006F3363">
      <w:pPr>
        <w:spacing w:before="200" w:line="300" w:lineRule="atLeast"/>
        <w:jc w:val="both"/>
      </w:pPr>
      <w:r>
        <w:rPr>
          <w:rFonts w:ascii="Arial" w:eastAsia="Arial" w:hAnsi="Arial" w:cs="Arial"/>
          <w:color w:val="000000"/>
        </w:rPr>
        <w:t>Former employee failed to exhaust administrative remedies prior to filing Florida Civil Rights Act (FCRA) action against Department of Health, where she commenced a</w:t>
      </w:r>
      <w:r>
        <w:rPr>
          <w:rFonts w:ascii="Arial" w:eastAsia="Arial" w:hAnsi="Arial" w:cs="Arial"/>
          <w:color w:val="000000"/>
        </w:rPr>
        <w:t>ction before Commission on Human Relations made cause determination on her discrimination charge or had opportunity to utilize the full 180-day investigatory period provided by FCRA, notwithstanding that she designated charge to be dual-filed with Commissi</w:t>
      </w:r>
      <w:r>
        <w:rPr>
          <w:rFonts w:ascii="Arial" w:eastAsia="Arial" w:hAnsi="Arial" w:cs="Arial"/>
          <w:color w:val="000000"/>
        </w:rPr>
        <w:t>on and Equal Employment Opportunity Commission (EEOC), and that she complied with EEOC's 90-day right-to-sue deadline; EEOC's right-to-sue notice was clear that 90-day window applied only to federal law claims, right-to-sue notice put employee on notice th</w:t>
      </w:r>
      <w:r>
        <w:rPr>
          <w:rFonts w:ascii="Arial" w:eastAsia="Arial" w:hAnsi="Arial" w:cs="Arial"/>
          <w:color w:val="000000"/>
        </w:rPr>
        <w:t xml:space="preserve">at time limit for filing suit based on claim under state law "may be different," and right-to-sue notice did not operate to circumvent requirement under FCRA that Commission determine whether there was reasonable cause to believe violation occurred before </w:t>
      </w:r>
      <w:r>
        <w:rPr>
          <w:rFonts w:ascii="Arial" w:eastAsia="Arial" w:hAnsi="Arial" w:cs="Arial"/>
          <w:color w:val="000000"/>
        </w:rPr>
        <w:t>former employee was authorized to file action. West's F.S.A. § 760.11(3). Sheridan v. State, Dept. of Health, 182 So. 3d 787 (Fla. 1st DCA 2016).</w:t>
      </w:r>
    </w:p>
    <w:p w:rsidR="007A6EB4" w:rsidRDefault="006F3363">
      <w:pPr>
        <w:spacing w:before="200" w:line="300" w:lineRule="atLeast"/>
        <w:jc w:val="both"/>
      </w:pPr>
      <w:r>
        <w:rPr>
          <w:rFonts w:ascii="Arial" w:eastAsia="Arial" w:hAnsi="Arial" w:cs="Arial"/>
          <w:color w:val="000000"/>
        </w:rPr>
        <w:t xml:space="preserve">Purpose of requirement to exhaust administrative remedies before bringing action alleging </w:t>
      </w:r>
      <w:r>
        <w:rPr>
          <w:rFonts w:ascii="Arial" w:eastAsia="Arial" w:hAnsi="Arial" w:cs="Arial"/>
          <w:color w:val="000000"/>
        </w:rPr>
        <w:t>discrimination in the workplace is to notify the employer of discriminatory practices and to provide the Commission on Human Relations (CHR) with the first opportunity to investigate the alleged discriminatory practices and to permit it to perform its role</w:t>
      </w:r>
      <w:r>
        <w:rPr>
          <w:rFonts w:ascii="Arial" w:eastAsia="Arial" w:hAnsi="Arial" w:cs="Arial"/>
          <w:color w:val="000000"/>
        </w:rPr>
        <w:t xml:space="preserve"> in obtaining voluntary compliance and promoting conciliation efforts. West's F.S.A. § 760.11. Sunbeam Television Corp. v. Mitzel, 83 So. 3d 865 (Fla. 3d DCA 2012).</w:t>
      </w:r>
    </w:p>
    <w:p w:rsidR="007A6EB4" w:rsidRDefault="006F3363">
      <w:pPr>
        <w:spacing w:before="200" w:line="300" w:lineRule="atLeast"/>
        <w:jc w:val="both"/>
      </w:pPr>
      <w:r>
        <w:rPr>
          <w:rFonts w:ascii="Arial" w:eastAsia="Arial" w:hAnsi="Arial" w:cs="Arial"/>
          <w:color w:val="000000"/>
        </w:rPr>
        <w:lastRenderedPageBreak/>
        <w:t>While judicial claims are allowed if they amplify, clarify, or more clearly focus the alleg</w:t>
      </w:r>
      <w:r>
        <w:rPr>
          <w:rFonts w:ascii="Arial" w:eastAsia="Arial" w:hAnsi="Arial" w:cs="Arial"/>
          <w:color w:val="000000"/>
        </w:rPr>
        <w:t>ations in the administrative complaint made to Commission on Human Relations (CHR) regarding workplace discrimination, allegations of new acts of discrimination are inappropriate. West's F.S.A. § 760.11. Sunbeam Television Corp. v. Mitzel, 83 So. 3d 865 (F</w:t>
      </w:r>
      <w:r>
        <w:rPr>
          <w:rFonts w:ascii="Arial" w:eastAsia="Arial" w:hAnsi="Arial" w:cs="Arial"/>
          <w:color w:val="000000"/>
        </w:rPr>
        <w:t>la. 3d DCA 2012).</w:t>
      </w:r>
    </w:p>
    <w:p w:rsidR="007A6EB4" w:rsidRDefault="006F3363">
      <w:pPr>
        <w:spacing w:before="200" w:line="300" w:lineRule="atLeast"/>
        <w:jc w:val="both"/>
      </w:pPr>
      <w:r>
        <w:rPr>
          <w:rFonts w:ascii="Arial" w:eastAsia="Arial" w:hAnsi="Arial" w:cs="Arial"/>
          <w:color w:val="000000"/>
        </w:rPr>
        <w:t>Community college employee's failure to include retaliation in his Equal Employment Opportunity Commission (EEOC) charge alleging disability discrimination did not preclude Florida Civil Rights Act (FCRA) claim alleging retaliation for ac</w:t>
      </w:r>
      <w:r>
        <w:rPr>
          <w:rFonts w:ascii="Arial" w:eastAsia="Arial" w:hAnsi="Arial" w:cs="Arial"/>
          <w:color w:val="000000"/>
        </w:rPr>
        <w:t>tivity inextricably intertwined with his disability-based EEOC charge. West's F.S.A. §§ 760.10(1)(a), (7), 760.11. Shedrick v. District Bd. of Trustees of Miami-Dade College, 941 F. Supp. 2d 1348 (S.D. Fla. 2013) (applying Florida law).</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70" style="position:absolute;left:0;text-align:left;z-index:25184768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55"/>
          <w:headerReference w:type="default" r:id="rId56"/>
          <w:footerReference w:type="even" r:id="rId57"/>
          <w:footerReference w:type="default" r:id="rId58"/>
          <w:headerReference w:type="first" r:id="rId59"/>
          <w:footerReference w:type="first" r:id="rId60"/>
          <w:pgSz w:w="12240" w:h="15840"/>
          <w:pgMar w:top="840" w:right="1000" w:bottom="840" w:left="1000" w:header="400" w:footer="400" w:gutter="0"/>
          <w:cols w:space="720"/>
          <w:titlePg/>
        </w:sectPr>
      </w:pPr>
    </w:p>
    <w:p w:rsidR="007A6EB4" w:rsidRDefault="007A6EB4">
      <w:bookmarkStart w:id="9" w:name="Bookmark_9"/>
      <w:bookmarkEnd w:id="9"/>
    </w:p>
    <w:p w:rsidR="007A6EB4" w:rsidRDefault="006F3363">
      <w:r>
        <w:pict>
          <v:shape id="_x0000_i1033"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8</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 xml:space="preserve">I. </w:t>
      </w:r>
      <w:r>
        <w:rPr>
          <w:rFonts w:ascii="Arial" w:eastAsia="Arial" w:hAnsi="Arial" w:cs="Arial"/>
          <w:b/>
          <w:i/>
          <w:color w:val="000000"/>
          <w:sz w:val="22"/>
        </w:rPr>
        <w:t>In General</w:t>
      </w:r>
      <w:r>
        <w:rPr>
          <w:rFonts w:ascii="Arial" w:eastAsia="Arial" w:hAnsi="Arial" w:cs="Arial"/>
          <w:b/>
          <w:color w:val="000000"/>
          <w:sz w:val="22"/>
        </w:rPr>
        <w:t xml:space="preserve">  &gt;  </w:t>
      </w:r>
      <w:r>
        <w:rPr>
          <w:rFonts w:ascii="Arial" w:eastAsia="Arial" w:hAnsi="Arial" w:cs="Arial"/>
          <w:b/>
          <w:i/>
          <w:color w:val="000000"/>
          <w:sz w:val="22"/>
        </w:rPr>
        <w:t>B. Administrative and Civil Remedies Under 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72" style="position:absolute;z-index:25166643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8 Findings; order; filing suit</w:t>
      </w:r>
    </w:p>
    <w:p w:rsidR="007A6EB4" w:rsidRDefault="006F3363">
      <w:pPr>
        <w:spacing w:line="60" w:lineRule="exact"/>
      </w:pPr>
      <w:r>
        <w:pict>
          <v:line id="_x0000_s1073" style="position:absolute;z-index:25171251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If the administrative-law judge finds that a violation of the Florida Civil Rights Act has </w:t>
      </w:r>
      <w:r>
        <w:rPr>
          <w:rFonts w:ascii="Arial" w:eastAsia="Arial" w:hAnsi="Arial" w:cs="Arial"/>
          <w:color w:val="000000"/>
        </w:rPr>
        <w:t>occurred, he or she must issue an appropriate recommended order to the Commission prohibiting the practice and recommending affirmative relief from the effects of the practice, including backpay,</w:t>
      </w:r>
      <w:r>
        <w:rPr>
          <w:rFonts w:ascii="Arial" w:eastAsia="Arial" w:hAnsi="Arial" w:cs="Arial"/>
          <w:vertAlign w:val="superscript"/>
        </w:rPr>
        <w:footnoteReference w:customMarkFollows="1" w:id="90"/>
        <w:t>n1</w:t>
      </w:r>
      <w:r>
        <w:rPr>
          <w:rFonts w:ascii="Arial" w:eastAsia="Arial" w:hAnsi="Arial" w:cs="Arial"/>
          <w:color w:val="000000"/>
        </w:rPr>
        <w:t xml:space="preserve"> not to accrue from a date more than two years prior to the</w:t>
      </w:r>
      <w:r>
        <w:rPr>
          <w:rFonts w:ascii="Arial" w:eastAsia="Arial" w:hAnsi="Arial" w:cs="Arial"/>
          <w:color w:val="000000"/>
        </w:rPr>
        <w:t xml:space="preserve"> filing of the complaint.</w:t>
      </w:r>
      <w:r>
        <w:rPr>
          <w:rFonts w:ascii="Arial" w:eastAsia="Arial" w:hAnsi="Arial" w:cs="Arial"/>
          <w:vertAlign w:val="superscript"/>
        </w:rPr>
        <w:footnoteReference w:customMarkFollows="1" w:id="91"/>
        <w:t>n2</w:t>
      </w:r>
      <w:r>
        <w:rPr>
          <w:rFonts w:ascii="Arial" w:eastAsia="Arial" w:hAnsi="Arial" w:cs="Arial"/>
          <w:color w:val="000000"/>
        </w:rPr>
        <w:t xml:space="preserve"> Within 90 days of the date when the recommended order is rendered, the Commission must issue a final order by adopting, rejecting, or modifying the recommended order. This period may be extended with the consent of all the parti</w:t>
      </w:r>
      <w:r>
        <w:rPr>
          <w:rFonts w:ascii="Arial" w:eastAsia="Arial" w:hAnsi="Arial" w:cs="Arial"/>
          <w:color w:val="000000"/>
        </w:rPr>
        <w:t>es.</w:t>
      </w:r>
      <w:r>
        <w:rPr>
          <w:rFonts w:ascii="Arial" w:eastAsia="Arial" w:hAnsi="Arial" w:cs="Arial"/>
          <w:vertAlign w:val="superscript"/>
        </w:rPr>
        <w:footnoteReference w:customMarkFollows="1" w:id="92"/>
        <w:t>n3</w:t>
      </w:r>
      <w:r>
        <w:rPr>
          <w:rFonts w:ascii="Arial" w:eastAsia="Arial" w:hAnsi="Arial" w:cs="Arial"/>
          <w:color w:val="000000"/>
        </w:rPr>
        <w:t xml:space="preserve"> In any such action or proceeding, the Commission may allow the prevailing party a reasonable attorney's fees as part of the costs.</w:t>
      </w:r>
      <w:r>
        <w:rPr>
          <w:rFonts w:ascii="Arial" w:eastAsia="Arial" w:hAnsi="Arial" w:cs="Arial"/>
          <w:vertAlign w:val="superscript"/>
        </w:rPr>
        <w:footnoteReference w:customMarkFollows="1" w:id="93"/>
        <w:t>n4</w:t>
      </w:r>
    </w:p>
    <w:p w:rsidR="007A6EB4" w:rsidRDefault="006F3363">
      <w:pPr>
        <w:spacing w:before="200" w:line="300" w:lineRule="atLeast"/>
        <w:jc w:val="both"/>
      </w:pPr>
      <w:r>
        <w:rPr>
          <w:rFonts w:ascii="Arial" w:eastAsia="Arial" w:hAnsi="Arial" w:cs="Arial"/>
          <w:color w:val="000000"/>
        </w:rPr>
        <w:t>In the event that the final order issued by the Commission determines that a violation of the Civil Rights Act has oc</w:t>
      </w:r>
      <w:r>
        <w:rPr>
          <w:rFonts w:ascii="Arial" w:eastAsia="Arial" w:hAnsi="Arial" w:cs="Arial"/>
          <w:color w:val="000000"/>
        </w:rPr>
        <w:t>curred, the aggrieved person may bring, within one year of the date of the final order, a civil action as if there has been a reasonable-cause determination or accept the affirmative relief offered by the Commission but not both.</w:t>
      </w:r>
      <w:r>
        <w:rPr>
          <w:rFonts w:ascii="Arial" w:eastAsia="Arial" w:hAnsi="Arial" w:cs="Arial"/>
          <w:vertAlign w:val="superscript"/>
        </w:rPr>
        <w:footnoteReference w:customMarkFollows="1" w:id="94"/>
        <w:t>n5</w:t>
      </w:r>
    </w:p>
    <w:p w:rsidR="007A6EB4" w:rsidRDefault="006F3363">
      <w:pPr>
        <w:spacing w:before="200" w:line="300" w:lineRule="atLeast"/>
        <w:jc w:val="both"/>
      </w:pPr>
      <w:r>
        <w:rPr>
          <w:rFonts w:ascii="Arial" w:eastAsia="Arial" w:hAnsi="Arial" w:cs="Arial"/>
          <w:color w:val="000000"/>
        </w:rPr>
        <w:t xml:space="preserve">If the Commission fails </w:t>
      </w:r>
      <w:r>
        <w:rPr>
          <w:rFonts w:ascii="Arial" w:eastAsia="Arial" w:hAnsi="Arial" w:cs="Arial"/>
          <w:color w:val="000000"/>
        </w:rPr>
        <w:t>to conciliate or determine whether there is reasonable cause within 180 days of the filing of any complaint, an aggrieved person may proceed to bring a civil action or request an administrative hearing as if the Commission determined that there was reasona</w:t>
      </w:r>
      <w:r>
        <w:rPr>
          <w:rFonts w:ascii="Arial" w:eastAsia="Arial" w:hAnsi="Arial" w:cs="Arial"/>
          <w:color w:val="000000"/>
        </w:rPr>
        <w:t>ble cause.</w:t>
      </w:r>
      <w:r>
        <w:rPr>
          <w:rFonts w:ascii="Arial" w:eastAsia="Arial" w:hAnsi="Arial" w:cs="Arial"/>
          <w:vertAlign w:val="superscript"/>
        </w:rPr>
        <w:footnoteReference w:customMarkFollows="1" w:id="95"/>
        <w:t>n6</w:t>
      </w:r>
    </w:p>
    <w:p w:rsidR="007A6EB4" w:rsidRDefault="006F3363">
      <w:pPr>
        <w:spacing w:before="200" w:line="300" w:lineRule="atLeast"/>
        <w:jc w:val="both"/>
      </w:pPr>
      <w:r>
        <w:rPr>
          <w:rFonts w:ascii="Arial" w:eastAsia="Arial" w:hAnsi="Arial" w:cs="Arial"/>
          <w:color w:val="000000"/>
        </w:rPr>
        <w:lastRenderedPageBreak/>
        <w:t>Illustration: A complainant's premature filing of a racial discrimination lawsuit against an employer, prior to expiration of the required 180-day period for investigation of the complainant's administrative complaint of discrimination, did no</w:t>
      </w:r>
      <w:r>
        <w:rPr>
          <w:rFonts w:ascii="Arial" w:eastAsia="Arial" w:hAnsi="Arial" w:cs="Arial"/>
          <w:color w:val="000000"/>
        </w:rPr>
        <w:t>t divest the Commission of jurisdiction over the complainant's complaint, and thus, the Commission retained jurisdiction to issue the complainant a right-to-sue letter following the court's dismissal of the premature lawsuit.</w:t>
      </w:r>
      <w:r>
        <w:rPr>
          <w:rFonts w:ascii="Arial" w:eastAsia="Arial" w:hAnsi="Arial" w:cs="Arial"/>
          <w:vertAlign w:val="superscript"/>
        </w:rPr>
        <w:footnoteReference w:customMarkFollows="1" w:id="96"/>
        <w:t>n7</w:t>
      </w:r>
    </w:p>
    <w:p w:rsidR="007A6EB4" w:rsidRDefault="006F3363">
      <w:pPr>
        <w:spacing w:before="200" w:line="300" w:lineRule="atLeast"/>
        <w:jc w:val="both"/>
      </w:pPr>
      <w:r>
        <w:rPr>
          <w:rFonts w:ascii="Arial" w:eastAsia="Arial" w:hAnsi="Arial" w:cs="Arial"/>
          <w:color w:val="000000"/>
        </w:rPr>
        <w:t>Practice Tip: The general fo</w:t>
      </w:r>
      <w:r>
        <w:rPr>
          <w:rFonts w:ascii="Arial" w:eastAsia="Arial" w:hAnsi="Arial" w:cs="Arial"/>
          <w:color w:val="000000"/>
        </w:rPr>
        <w:t>ur-year statute of limitations for statutory violations,</w:t>
      </w:r>
      <w:r>
        <w:rPr>
          <w:rFonts w:ascii="Arial" w:eastAsia="Arial" w:hAnsi="Arial" w:cs="Arial"/>
          <w:vertAlign w:val="superscript"/>
        </w:rPr>
        <w:footnoteReference w:customMarkFollows="1" w:id="97"/>
        <w:t>n8</w:t>
      </w:r>
      <w:r>
        <w:rPr>
          <w:rFonts w:ascii="Arial" w:eastAsia="Arial" w:hAnsi="Arial" w:cs="Arial"/>
          <w:color w:val="000000"/>
        </w:rPr>
        <w:t xml:space="preserve"> rather than the one-year period of limitations specifically applicable to civil-rights actions,</w:t>
      </w:r>
      <w:r>
        <w:rPr>
          <w:rFonts w:ascii="Arial" w:eastAsia="Arial" w:hAnsi="Arial" w:cs="Arial"/>
          <w:vertAlign w:val="superscript"/>
        </w:rPr>
        <w:footnoteReference w:customMarkFollows="1" w:id="98"/>
        <w:t>N9</w:t>
      </w:r>
      <w:r>
        <w:rPr>
          <w:rFonts w:ascii="Arial" w:eastAsia="Arial" w:hAnsi="Arial" w:cs="Arial"/>
          <w:color w:val="000000"/>
        </w:rPr>
        <w:t xml:space="preserve"> applies to such actions if the Commission does not make a reasonable-cause determination on a compl</w:t>
      </w:r>
      <w:r>
        <w:rPr>
          <w:rFonts w:ascii="Arial" w:eastAsia="Arial" w:hAnsi="Arial" w:cs="Arial"/>
          <w:color w:val="000000"/>
        </w:rPr>
        <w:t>aint within the 180 days as provided.</w:t>
      </w:r>
      <w:r>
        <w:rPr>
          <w:rFonts w:ascii="Arial" w:eastAsia="Arial" w:hAnsi="Arial" w:cs="Arial"/>
          <w:vertAlign w:val="superscript"/>
        </w:rPr>
        <w:footnoteReference w:customMarkFollows="1" w:id="99"/>
        <w:t>n10</w:t>
      </w:r>
    </w:p>
    <w:p w:rsidR="007A6EB4" w:rsidRDefault="006F3363">
      <w:pPr>
        <w:spacing w:before="200" w:line="300" w:lineRule="atLeast"/>
        <w:jc w:val="both"/>
      </w:pPr>
      <w:r>
        <w:rPr>
          <w:rFonts w:ascii="Arial" w:eastAsia="Arial" w:hAnsi="Arial" w:cs="Arial"/>
          <w:color w:val="000000"/>
        </w:rPr>
        <w:t>Observation: An employee's handicap discrimination claim accrued, for limitations purposes, on the date of his alleged wrongful termination, and the running of the four-year statute of limitations was not tolled whi</w:t>
      </w:r>
      <w:r>
        <w:rPr>
          <w:rFonts w:ascii="Arial" w:eastAsia="Arial" w:hAnsi="Arial" w:cs="Arial"/>
          <w:color w:val="000000"/>
        </w:rPr>
        <w:t>le the employee pursued his administrative complaint with the Commission.</w:t>
      </w:r>
      <w:r>
        <w:rPr>
          <w:rFonts w:ascii="Arial" w:eastAsia="Arial" w:hAnsi="Arial" w:cs="Arial"/>
          <w:vertAlign w:val="superscript"/>
        </w:rPr>
        <w:footnoteReference w:customMarkFollows="1" w:id="100"/>
        <w:t>n11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74" style="position:absolute;z-index:25175859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 xml:space="preserve">A.L.R. Index, Civil Rights and </w:t>
      </w:r>
      <w:r>
        <w:rPr>
          <w:rFonts w:ascii="Arial" w:eastAsia="Arial" w:hAnsi="Arial" w:cs="Arial"/>
          <w:color w:val="000000"/>
        </w:rPr>
        <w:t>Discrimination</w:t>
      </w:r>
    </w:p>
    <w:p w:rsidR="007A6EB4" w:rsidRDefault="006F3363">
      <w:pPr>
        <w:spacing w:before="120" w:line="300" w:lineRule="atLeast"/>
      </w:pPr>
      <w:r>
        <w:rPr>
          <w:rFonts w:ascii="Arial" w:eastAsia="Arial" w:hAnsi="Arial" w:cs="Arial"/>
          <w:color w:val="000000"/>
        </w:rPr>
        <w:t>West's A.L.R. Digest,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Am. Jur. 2d, Civil Rights §§ 16 to 18</w:t>
      </w:r>
    </w:p>
    <w:p w:rsidR="007A6EB4" w:rsidRDefault="006F3363">
      <w:pPr>
        <w:spacing w:before="120" w:line="300" w:lineRule="atLeast"/>
      </w:pPr>
      <w:r>
        <w:rPr>
          <w:rFonts w:ascii="Arial" w:eastAsia="Arial" w:hAnsi="Arial" w:cs="Arial"/>
          <w:color w:val="000000"/>
        </w:rPr>
        <w:t>C.J.S., Civil Rights §§ 722 to 779</w:t>
      </w:r>
    </w:p>
    <w:p w:rsidR="007A6EB4" w:rsidRDefault="006F3363">
      <w:pPr>
        <w:spacing w:before="120" w:line="300" w:lineRule="atLeast"/>
      </w:pPr>
      <w:r>
        <w:rPr>
          <w:rFonts w:ascii="Arial" w:eastAsia="Arial" w:hAnsi="Arial" w:cs="Arial"/>
          <w:color w:val="000000"/>
        </w:rPr>
        <w:t>West's Key Number Digest, Civil Rights [w</w:t>
      </w:r>
      <w:r>
        <w:rPr>
          <w:rFonts w:ascii="Arial" w:eastAsia="Arial" w:hAnsi="Arial" w:cs="Arial"/>
          <w:color w:val="000000"/>
        </w:rPr>
        <w:t>estkey]1711, 1714, 1715, 1717, 1731, 1732, 1746, 1756 to 1758, 1764 to 1774</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75" style="position:absolute;z-index:25180467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The presuit filing of a complaint with the Florida Commission on Human Relations (FCHR) for investigation is a condition precedent that must be pleaded when fi</w:t>
      </w:r>
      <w:r>
        <w:rPr>
          <w:rFonts w:ascii="Arial" w:eastAsia="Arial" w:hAnsi="Arial" w:cs="Arial"/>
          <w:color w:val="000000"/>
        </w:rPr>
        <w:t xml:space="preserve">ling a civil action alleging a </w:t>
      </w:r>
      <w:r>
        <w:rPr>
          <w:rFonts w:ascii="Arial" w:eastAsia="Arial" w:hAnsi="Arial" w:cs="Arial"/>
          <w:color w:val="000000"/>
        </w:rPr>
        <w:lastRenderedPageBreak/>
        <w:t>violation of the Florida Civil Rights Act. West's F.S.A. § 760.11. Maynard v. Taco Bell of America, Inc., 117 So. 3d 1159 (Fla. 2d DCA 2013).</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76" style="position:absolute;left:0;text-align:left;z-index:25184870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61"/>
          <w:headerReference w:type="default" r:id="rId62"/>
          <w:footerReference w:type="even" r:id="rId63"/>
          <w:footerReference w:type="default" r:id="rId64"/>
          <w:headerReference w:type="first" r:id="rId65"/>
          <w:footerReference w:type="first" r:id="rId66"/>
          <w:pgSz w:w="12240" w:h="15840"/>
          <w:pgMar w:top="840" w:right="1000" w:bottom="840" w:left="1000" w:header="400" w:footer="400" w:gutter="0"/>
          <w:cols w:space="720"/>
          <w:titlePg/>
        </w:sectPr>
      </w:pPr>
    </w:p>
    <w:p w:rsidR="007A6EB4" w:rsidRDefault="007A6EB4">
      <w:bookmarkStart w:id="10" w:name="Bookmark_10"/>
      <w:bookmarkEnd w:id="10"/>
    </w:p>
    <w:p w:rsidR="007A6EB4" w:rsidRDefault="006F3363">
      <w:r>
        <w:pict>
          <v:shape id="_x0000_i1034"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9</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 xml:space="preserve">B. Administrative and Civil </w:t>
      </w:r>
      <w:r>
        <w:rPr>
          <w:rFonts w:ascii="Arial" w:eastAsia="Arial" w:hAnsi="Arial" w:cs="Arial"/>
          <w:b/>
          <w:i/>
          <w:color w:val="000000"/>
          <w:sz w:val="22"/>
        </w:rPr>
        <w:t>Remedies Under 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78" style="position:absolute;z-index:25166745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9 Informal dispute resolution</w:t>
      </w:r>
    </w:p>
    <w:p w:rsidR="007A6EB4" w:rsidRDefault="006F3363">
      <w:pPr>
        <w:spacing w:line="60" w:lineRule="exact"/>
      </w:pPr>
      <w:r>
        <w:pict>
          <v:line id="_x0000_s1079" style="position:absolute;z-index:25171353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If a complaint is within the jurisdiction of the Commission on Human Relations, it must simultaneously with its other statutory </w:t>
      </w:r>
      <w:r>
        <w:rPr>
          <w:rFonts w:ascii="Arial" w:eastAsia="Arial" w:hAnsi="Arial" w:cs="Arial"/>
          <w:color w:val="000000"/>
        </w:rPr>
        <w:t>obligations attempt to eliminate or correct the alleged discrimination by informal methods of conference, conciliation, and persuasion.</w:t>
      </w:r>
      <w:r>
        <w:rPr>
          <w:rFonts w:ascii="Arial" w:eastAsia="Arial" w:hAnsi="Arial" w:cs="Arial"/>
          <w:vertAlign w:val="superscript"/>
        </w:rPr>
        <w:footnoteReference w:customMarkFollows="1" w:id="101"/>
        <w:t>n1</w:t>
      </w:r>
      <w:r>
        <w:rPr>
          <w:rFonts w:ascii="Arial" w:eastAsia="Arial" w:hAnsi="Arial" w:cs="Arial"/>
          <w:color w:val="000000"/>
        </w:rPr>
        <w:t xml:space="preserve"> Nothing said or done in the course of such informal endeavors may be made public or used as evidence in a subsequent c</w:t>
      </w:r>
      <w:r>
        <w:rPr>
          <w:rFonts w:ascii="Arial" w:eastAsia="Arial" w:hAnsi="Arial" w:cs="Arial"/>
          <w:color w:val="000000"/>
        </w:rPr>
        <w:t>ivil proceeding, trial, or hearing. The Commission may initiate dispute resolution procedures, including voluntary arbitration, by special magistrates or mediators and may adopt rules as to the qualifications of persons who may serve as special magistrates</w:t>
      </w:r>
      <w:r>
        <w:rPr>
          <w:rFonts w:ascii="Arial" w:eastAsia="Arial" w:hAnsi="Arial" w:cs="Arial"/>
          <w:color w:val="000000"/>
        </w:rPr>
        <w:t xml:space="preserve"> and mediators.</w:t>
      </w:r>
      <w:r>
        <w:rPr>
          <w:rFonts w:ascii="Arial" w:eastAsia="Arial" w:hAnsi="Arial" w:cs="Arial"/>
          <w:vertAlign w:val="superscript"/>
        </w:rPr>
        <w:footnoteReference w:customMarkFollows="1" w:id="102"/>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80" style="position:absolute;z-index:25175961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West's A.L.R. Digest, Civil Rights [westkey]170</w:t>
      </w:r>
      <w:r>
        <w:rPr>
          <w:rFonts w:ascii="Arial" w:eastAsia="Arial" w:hAnsi="Arial" w:cs="Arial"/>
          <w:color w:val="000000"/>
        </w:rPr>
        <w:t>6 to 1709, 1711, 1712, 1714, 1715, 1717, 1731, 1732, 1756 to 1758, 1764 to 1774</w:t>
      </w:r>
    </w:p>
    <w:p w:rsidR="007A6EB4" w:rsidRDefault="006F3363">
      <w:pPr>
        <w:spacing w:before="120" w:line="300" w:lineRule="atLeast"/>
      </w:pPr>
      <w:r>
        <w:rPr>
          <w:rFonts w:ascii="Arial" w:eastAsia="Arial" w:hAnsi="Arial" w:cs="Arial"/>
          <w:color w:val="000000"/>
        </w:rPr>
        <w:t>Am. Jur. 2d, Civil Rights §§ 16 to 18</w:t>
      </w:r>
    </w:p>
    <w:p w:rsidR="007A6EB4" w:rsidRDefault="006F3363">
      <w:pPr>
        <w:spacing w:before="120" w:line="300" w:lineRule="atLeast"/>
      </w:pPr>
      <w:r>
        <w:rPr>
          <w:rFonts w:ascii="Arial" w:eastAsia="Arial" w:hAnsi="Arial" w:cs="Arial"/>
          <w:color w:val="000000"/>
        </w:rPr>
        <w:t>C.J.S., Civil Rights §§ 722 to 779</w:t>
      </w:r>
    </w:p>
    <w:p w:rsidR="007A6EB4" w:rsidRDefault="006F3363">
      <w:pPr>
        <w:spacing w:before="120" w:line="300" w:lineRule="atLeast"/>
      </w:pPr>
      <w:r>
        <w:rPr>
          <w:rFonts w:ascii="Arial" w:eastAsia="Arial" w:hAnsi="Arial" w:cs="Arial"/>
          <w:color w:val="000000"/>
        </w:rPr>
        <w:t>West's Key Number Digest, Civil Rights [westkey]1707</w:t>
      </w:r>
    </w:p>
    <w:p w:rsidR="007A6EB4" w:rsidRDefault="006F3363">
      <w:pPr>
        <w:spacing w:before="240" w:line="300" w:lineRule="atLeast"/>
      </w:pPr>
      <w:r>
        <w:lastRenderedPageBreak/>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w:t>
      </w:r>
      <w:r>
        <w:rPr>
          <w:rFonts w:ascii="Arial" w:eastAsia="Arial" w:hAnsi="Arial" w:cs="Arial"/>
          <w:color w:val="000000"/>
          <w:sz w:val="20"/>
        </w:rPr>
        <w:t>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81" style="position:absolute;left:0;text-align:left;z-index:25180569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67"/>
          <w:headerReference w:type="default" r:id="rId68"/>
          <w:footerReference w:type="even" r:id="rId69"/>
          <w:footerReference w:type="default" r:id="rId70"/>
          <w:headerReference w:type="first" r:id="rId71"/>
          <w:footerReference w:type="first" r:id="rId72"/>
          <w:pgSz w:w="12240" w:h="15840"/>
          <w:pgMar w:top="840" w:right="1000" w:bottom="840" w:left="1000" w:header="400" w:footer="400" w:gutter="0"/>
          <w:cols w:space="720"/>
          <w:titlePg/>
        </w:sectPr>
      </w:pPr>
    </w:p>
    <w:p w:rsidR="007A6EB4" w:rsidRDefault="007A6EB4">
      <w:bookmarkStart w:id="11" w:name="Bookmark_11"/>
      <w:bookmarkEnd w:id="11"/>
    </w:p>
    <w:p w:rsidR="007A6EB4" w:rsidRDefault="006F3363">
      <w:r>
        <w:pict>
          <v:shape id="_x0000_i1035"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10</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 In General</w:t>
      </w:r>
      <w:r>
        <w:rPr>
          <w:rFonts w:ascii="Arial" w:eastAsia="Arial" w:hAnsi="Arial" w:cs="Arial"/>
          <w:b/>
          <w:color w:val="000000"/>
          <w:sz w:val="22"/>
        </w:rPr>
        <w:t xml:space="preserve">  &gt;  </w:t>
      </w:r>
      <w:r>
        <w:rPr>
          <w:rFonts w:ascii="Arial" w:eastAsia="Arial" w:hAnsi="Arial" w:cs="Arial"/>
          <w:b/>
          <w:i/>
          <w:color w:val="000000"/>
          <w:sz w:val="22"/>
        </w:rPr>
        <w:t xml:space="preserve">B. </w:t>
      </w:r>
      <w:r>
        <w:rPr>
          <w:rFonts w:ascii="Arial" w:eastAsia="Arial" w:hAnsi="Arial" w:cs="Arial"/>
          <w:b/>
          <w:i/>
          <w:color w:val="000000"/>
          <w:sz w:val="22"/>
        </w:rPr>
        <w:t>Administrative and Civil Remedies Under 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83" style="position:absolute;z-index:25166848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10 Enforcement of judgment; review</w:t>
      </w:r>
    </w:p>
    <w:p w:rsidR="007A6EB4" w:rsidRDefault="006F3363">
      <w:pPr>
        <w:spacing w:line="60" w:lineRule="exact"/>
      </w:pPr>
      <w:r>
        <w:pict>
          <v:line id="_x0000_s1084" style="position:absolute;z-index:25171456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 judgment for the amount of damages and costs assessed pursuant to a final order by the Commission on Human </w:t>
      </w:r>
      <w:r>
        <w:rPr>
          <w:rFonts w:ascii="Arial" w:eastAsia="Arial" w:hAnsi="Arial" w:cs="Arial"/>
          <w:color w:val="000000"/>
        </w:rPr>
        <w:t>Relations may be entered in any court having jurisdiction thereof and may be enforced as any other judgment.</w:t>
      </w:r>
      <w:r>
        <w:rPr>
          <w:rFonts w:ascii="Arial" w:eastAsia="Arial" w:hAnsi="Arial" w:cs="Arial"/>
          <w:vertAlign w:val="superscript"/>
        </w:rPr>
        <w:footnoteReference w:customMarkFollows="1" w:id="103"/>
        <w:t>n1</w:t>
      </w:r>
    </w:p>
    <w:p w:rsidR="007A6EB4" w:rsidRDefault="006F3363">
      <w:pPr>
        <w:spacing w:before="200" w:line="300" w:lineRule="atLeast"/>
        <w:jc w:val="both"/>
      </w:pPr>
      <w:r>
        <w:rPr>
          <w:rFonts w:ascii="Arial" w:eastAsia="Arial" w:hAnsi="Arial" w:cs="Arial"/>
          <w:color w:val="000000"/>
        </w:rPr>
        <w:t>Final orders of the Commission are subject to judicial review pursuant to the Administrative Procedure Act.</w:t>
      </w:r>
      <w:r>
        <w:rPr>
          <w:rFonts w:ascii="Arial" w:eastAsia="Arial" w:hAnsi="Arial" w:cs="Arial"/>
          <w:vertAlign w:val="superscript"/>
        </w:rPr>
        <w:footnoteReference w:customMarkFollows="1" w:id="104"/>
        <w:t>n2</w:t>
      </w:r>
      <w:r>
        <w:rPr>
          <w:rFonts w:ascii="Arial" w:eastAsia="Arial" w:hAnsi="Arial" w:cs="Arial"/>
          <w:color w:val="000000"/>
        </w:rPr>
        <w:t xml:space="preserve"> The Commission's determination of r</w:t>
      </w:r>
      <w:r>
        <w:rPr>
          <w:rFonts w:ascii="Arial" w:eastAsia="Arial" w:hAnsi="Arial" w:cs="Arial"/>
          <w:color w:val="000000"/>
        </w:rPr>
        <w:t>easonable cause is not a final agency action that is subject to judicial review.</w:t>
      </w:r>
      <w:r>
        <w:rPr>
          <w:rFonts w:ascii="Arial" w:eastAsia="Arial" w:hAnsi="Arial" w:cs="Arial"/>
          <w:vertAlign w:val="superscript"/>
        </w:rPr>
        <w:footnoteReference w:customMarkFollows="1" w:id="105"/>
        <w:t>n3</w:t>
      </w:r>
      <w:r>
        <w:rPr>
          <w:rFonts w:ascii="Arial" w:eastAsia="Arial" w:hAnsi="Arial" w:cs="Arial"/>
          <w:color w:val="000000"/>
        </w:rPr>
        <w:t xml:space="preserve"> If the order of the court determines that a violation of the Florida Civil Rights Act has occurred, the court must remand the matter to the Commission for appropriate relief</w:t>
      </w:r>
      <w:r>
        <w:rPr>
          <w:rFonts w:ascii="Arial" w:eastAsia="Arial" w:hAnsi="Arial" w:cs="Arial"/>
          <w:color w:val="000000"/>
        </w:rPr>
        <w:t>. The aggrieved party has the option to accept the relief offered by the Commission or may bring, within one year of the date of the court order, a civil action as if there has been a reasonable-cause determination.</w:t>
      </w:r>
      <w:r>
        <w:rPr>
          <w:rFonts w:ascii="Arial" w:eastAsia="Arial" w:hAnsi="Arial" w:cs="Arial"/>
          <w:vertAlign w:val="superscript"/>
        </w:rPr>
        <w:footnoteReference w:customMarkFollows="1" w:id="106"/>
        <w:t>n4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85" style="position:absolute;z-index:25176064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w:t>
      </w:r>
      <w:r>
        <w:rPr>
          <w:rFonts w:ascii="Arial" w:eastAsia="Arial" w:hAnsi="Arial" w:cs="Arial"/>
          <w:color w:val="000000"/>
        </w:rPr>
        <w:t>, Civil Rights [westkey]1706 to 1709, 1711, 1712, 1714, 1715, 1717, 1731, 1732, 1756 to 1758, 1764 to 1774</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West's A.L.R. Digest, Civil Rights [westkey]1706 to 1709, 1711, 1712, 1714, 1715, 1717, 1731, 1732, 175</w:t>
      </w:r>
      <w:r>
        <w:rPr>
          <w:rFonts w:ascii="Arial" w:eastAsia="Arial" w:hAnsi="Arial" w:cs="Arial"/>
          <w:color w:val="000000"/>
        </w:rPr>
        <w:t>6 to 1758, 1764 to 1774</w:t>
      </w:r>
    </w:p>
    <w:p w:rsidR="007A6EB4" w:rsidRDefault="006F3363">
      <w:pPr>
        <w:spacing w:before="120" w:line="300" w:lineRule="atLeast"/>
      </w:pPr>
      <w:r>
        <w:rPr>
          <w:rFonts w:ascii="Arial" w:eastAsia="Arial" w:hAnsi="Arial" w:cs="Arial"/>
          <w:color w:val="000000"/>
        </w:rPr>
        <w:lastRenderedPageBreak/>
        <w:t>Am. Jur. 2d, Civil Rights §§ 16 to 18</w:t>
      </w:r>
    </w:p>
    <w:p w:rsidR="007A6EB4" w:rsidRDefault="006F3363">
      <w:pPr>
        <w:spacing w:before="120" w:line="300" w:lineRule="atLeast"/>
      </w:pPr>
      <w:r>
        <w:rPr>
          <w:rFonts w:ascii="Arial" w:eastAsia="Arial" w:hAnsi="Arial" w:cs="Arial"/>
          <w:color w:val="000000"/>
        </w:rPr>
        <w:t>C.J.S., Civil Rights §§ 722 to 779</w:t>
      </w:r>
    </w:p>
    <w:p w:rsidR="007A6EB4" w:rsidRDefault="006F3363">
      <w:pPr>
        <w:spacing w:before="120" w:line="300" w:lineRule="atLeast"/>
      </w:pPr>
      <w:r>
        <w:rPr>
          <w:rFonts w:ascii="Arial" w:eastAsia="Arial" w:hAnsi="Arial" w:cs="Arial"/>
          <w:color w:val="000000"/>
        </w:rPr>
        <w:t>West's Key Number Digest, Civil Rights [westkey]1712</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86" style="position:absolute;left:0;text-align:left;z-index:25180672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73"/>
          <w:headerReference w:type="default" r:id="rId74"/>
          <w:footerReference w:type="even" r:id="rId75"/>
          <w:footerReference w:type="default" r:id="rId76"/>
          <w:headerReference w:type="first" r:id="rId77"/>
          <w:footerReference w:type="first" r:id="rId78"/>
          <w:pgSz w:w="12240" w:h="15840"/>
          <w:pgMar w:top="840" w:right="1000" w:bottom="840" w:left="1000" w:header="400" w:footer="400" w:gutter="0"/>
          <w:cols w:space="720"/>
          <w:titlePg/>
        </w:sectPr>
      </w:pPr>
    </w:p>
    <w:p w:rsidR="007A6EB4" w:rsidRDefault="007A6EB4">
      <w:bookmarkStart w:id="12" w:name="Bookmark_12"/>
      <w:bookmarkEnd w:id="12"/>
    </w:p>
    <w:p w:rsidR="007A6EB4" w:rsidRDefault="006F3363">
      <w:r>
        <w:pict>
          <v:shape id="_x0000_i1036"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11</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A. Discrimination in Places of Public Accommodation</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88" style="position:absolute;z-index:25166950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11 Access to places of public accommodation, generally; public accommodations defined</w:t>
      </w:r>
    </w:p>
    <w:p w:rsidR="007A6EB4" w:rsidRDefault="006F3363">
      <w:pPr>
        <w:spacing w:line="60" w:lineRule="exact"/>
      </w:pPr>
      <w:r>
        <w:pict>
          <v:line id="_x0000_s1089" style="position:absolute;z-index:25171558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All persons are entitled to the full and equal enjoyment of the goods, services, facilities, privileges, advantages, and </w:t>
      </w:r>
      <w:r>
        <w:rPr>
          <w:rFonts w:ascii="Arial" w:eastAsia="Arial" w:hAnsi="Arial" w:cs="Arial"/>
          <w:color w:val="000000"/>
        </w:rPr>
        <w:t>accommodations of any place of public accommodation without discrimination or segregation on the ground of race, color, national origin, sex, handicap, familial status, or religion.</w:t>
      </w:r>
      <w:r>
        <w:rPr>
          <w:rFonts w:ascii="Arial" w:eastAsia="Arial" w:hAnsi="Arial" w:cs="Arial"/>
          <w:vertAlign w:val="superscript"/>
        </w:rPr>
        <w:footnoteReference w:customMarkFollows="1" w:id="107"/>
        <w:t>n1</w:t>
      </w:r>
    </w:p>
    <w:p w:rsidR="007A6EB4" w:rsidRDefault="006F3363">
      <w:pPr>
        <w:spacing w:before="200" w:line="300" w:lineRule="atLeast"/>
        <w:jc w:val="both"/>
      </w:pPr>
      <w:r>
        <w:rPr>
          <w:rFonts w:ascii="Arial" w:eastAsia="Arial" w:hAnsi="Arial" w:cs="Arial"/>
          <w:color w:val="000000"/>
        </w:rPr>
        <w:t>Definition: "Public accommodations" means places of public accommodation</w:t>
      </w:r>
      <w:r>
        <w:rPr>
          <w:rFonts w:ascii="Arial" w:eastAsia="Arial" w:hAnsi="Arial" w:cs="Arial"/>
          <w:color w:val="000000"/>
        </w:rPr>
        <w:t>, lodgings, facilities principally engaged in selling food for consumption on the premises, gasoline stations, places of exhibition or entertainment, and other covered establishments.</w:t>
      </w:r>
      <w:r>
        <w:rPr>
          <w:rFonts w:ascii="Arial" w:eastAsia="Arial" w:hAnsi="Arial" w:cs="Arial"/>
          <w:vertAlign w:val="superscript"/>
        </w:rPr>
        <w:footnoteReference w:customMarkFollows="1" w:id="108"/>
        <w:t>n2</w:t>
      </w:r>
    </w:p>
    <w:p w:rsidR="007A6EB4" w:rsidRDefault="006F3363">
      <w:pPr>
        <w:spacing w:before="200" w:line="300" w:lineRule="atLeast"/>
        <w:jc w:val="both"/>
      </w:pPr>
      <w:r>
        <w:rPr>
          <w:rFonts w:ascii="Arial" w:eastAsia="Arial" w:hAnsi="Arial" w:cs="Arial"/>
          <w:color w:val="000000"/>
        </w:rPr>
        <w:t>The term "public accommodations" does not include lodge halls or other</w:t>
      </w:r>
      <w:r>
        <w:rPr>
          <w:rFonts w:ascii="Arial" w:eastAsia="Arial" w:hAnsi="Arial" w:cs="Arial"/>
          <w:color w:val="000000"/>
        </w:rPr>
        <w:t xml:space="preserve"> similar facilities of private organizations that are made available for public use occasionally or periodically.</w:t>
      </w:r>
      <w:r>
        <w:rPr>
          <w:rFonts w:ascii="Arial" w:eastAsia="Arial" w:hAnsi="Arial" w:cs="Arial"/>
          <w:vertAlign w:val="superscript"/>
        </w:rPr>
        <w:footnoteReference w:customMarkFollows="1" w:id="109"/>
        <w:t>n3</w:t>
      </w:r>
      <w:r>
        <w:rPr>
          <w:rFonts w:ascii="Arial" w:eastAsia="Arial" w:hAnsi="Arial" w:cs="Arial"/>
          <w:color w:val="000000"/>
        </w:rPr>
        <w:t xml:space="preserve"> Furthermore, the definition does not include medical facilities like a diagnostic imaging facility.</w:t>
      </w:r>
      <w:r>
        <w:rPr>
          <w:rFonts w:ascii="Arial" w:eastAsia="Arial" w:hAnsi="Arial" w:cs="Arial"/>
          <w:vertAlign w:val="superscript"/>
        </w:rPr>
        <w:footnoteReference w:customMarkFollows="1" w:id="110"/>
        <w:t>n4</w:t>
      </w:r>
    </w:p>
    <w:p w:rsidR="007A6EB4" w:rsidRDefault="006F3363">
      <w:pPr>
        <w:spacing w:before="200" w:line="300" w:lineRule="atLeast"/>
        <w:jc w:val="both"/>
      </w:pPr>
      <w:r>
        <w:rPr>
          <w:rFonts w:ascii="Arial" w:eastAsia="Arial" w:hAnsi="Arial" w:cs="Arial"/>
          <w:color w:val="000000"/>
        </w:rPr>
        <w:t>Observation: The Act's narrow definiti</w:t>
      </w:r>
      <w:r>
        <w:rPr>
          <w:rFonts w:ascii="Arial" w:eastAsia="Arial" w:hAnsi="Arial" w:cs="Arial"/>
          <w:color w:val="000000"/>
        </w:rPr>
        <w:t>on of "public accommodation" applies to the provisions of the Act,</w:t>
      </w:r>
      <w:r>
        <w:rPr>
          <w:rFonts w:ascii="Arial" w:eastAsia="Arial" w:hAnsi="Arial" w:cs="Arial"/>
          <w:vertAlign w:val="superscript"/>
        </w:rPr>
        <w:footnoteReference w:customMarkFollows="1" w:id="111"/>
        <w:t>n5</w:t>
      </w:r>
      <w:r>
        <w:rPr>
          <w:rFonts w:ascii="Arial" w:eastAsia="Arial" w:hAnsi="Arial" w:cs="Arial"/>
          <w:color w:val="000000"/>
        </w:rPr>
        <w:t xml:space="preserve"> that is, for purposes of the Act section,</w:t>
      </w:r>
      <w:r>
        <w:rPr>
          <w:rFonts w:ascii="Arial" w:eastAsia="Arial" w:hAnsi="Arial" w:cs="Arial"/>
          <w:vertAlign w:val="superscript"/>
        </w:rPr>
        <w:footnoteReference w:customMarkFollows="1" w:id="112"/>
        <w:t>n6</w:t>
      </w:r>
      <w:r>
        <w:rPr>
          <w:rFonts w:ascii="Arial" w:eastAsia="Arial" w:hAnsi="Arial" w:cs="Arial"/>
          <w:color w:val="000000"/>
        </w:rPr>
        <w:t xml:space="preserve"> providing a private right of action for "any Florida statute" making discrimination in places of public accommodation unlawful.</w:t>
      </w:r>
      <w:r>
        <w:rPr>
          <w:rFonts w:ascii="Arial" w:eastAsia="Arial" w:hAnsi="Arial" w:cs="Arial"/>
          <w:vertAlign w:val="superscript"/>
        </w:rPr>
        <w:footnoteReference w:customMarkFollows="1" w:id="113"/>
        <w:t>n7</w:t>
      </w:r>
    </w:p>
    <w:p w:rsidR="007A6EB4" w:rsidRDefault="006F3363">
      <w:pPr>
        <w:spacing w:before="200" w:line="300" w:lineRule="atLeast"/>
        <w:jc w:val="both"/>
      </w:pPr>
      <w:r>
        <w:rPr>
          <w:rFonts w:ascii="Arial" w:eastAsia="Arial" w:hAnsi="Arial" w:cs="Arial"/>
          <w:color w:val="000000"/>
        </w:rPr>
        <w:lastRenderedPageBreak/>
        <w:t>Illustration:</w:t>
      </w:r>
      <w:r>
        <w:rPr>
          <w:rFonts w:ascii="Arial" w:eastAsia="Arial" w:hAnsi="Arial" w:cs="Arial"/>
          <w:color w:val="000000"/>
        </w:rPr>
        <w:t> The provisions of the Florida Civil Rights Act would prohibit the Village of Palmetto Bay from making a municipal softball field exclusively available to female athletes as any such action would constitute discrimination on the basis of sex or gender in t</w:t>
      </w:r>
      <w:r>
        <w:rPr>
          <w:rFonts w:ascii="Arial" w:eastAsia="Arial" w:hAnsi="Arial" w:cs="Arial"/>
          <w:color w:val="000000"/>
        </w:rPr>
        <w:t>he area of public accommodation. However, this conclusion should not be read to suggest that activities like girls' softball games cannot be scheduled exclusively at a particular athletic field so long as opportunities exist for boys' teams also to schedul</w:t>
      </w:r>
      <w:r>
        <w:rPr>
          <w:rFonts w:ascii="Arial" w:eastAsia="Arial" w:hAnsi="Arial" w:cs="Arial"/>
          <w:color w:val="000000"/>
        </w:rPr>
        <w:t>e use of the park.</w:t>
      </w:r>
      <w:r>
        <w:rPr>
          <w:rFonts w:ascii="Arial" w:eastAsia="Arial" w:hAnsi="Arial" w:cs="Arial"/>
          <w:vertAlign w:val="superscript"/>
        </w:rPr>
        <w:footnoteReference w:customMarkFollows="1" w:id="114"/>
        <w:t>n8</w:t>
      </w:r>
    </w:p>
    <w:p w:rsidR="007A6EB4" w:rsidRDefault="006F3363">
      <w:pPr>
        <w:spacing w:before="200" w:line="300" w:lineRule="atLeast"/>
        <w:jc w:val="both"/>
      </w:pPr>
      <w:r>
        <w:rPr>
          <w:rFonts w:ascii="Arial" w:eastAsia="Arial" w:hAnsi="Arial" w:cs="Arial"/>
          <w:color w:val="000000"/>
        </w:rPr>
        <w:t>An establishment may be transformed into a "public accommodation" for purposes of the Florida Civil Rights Act if: (1) it is an establishment located on the premises of an otherwise covered establishment; or (2) a covered establishment</w:t>
      </w:r>
      <w:r>
        <w:rPr>
          <w:rFonts w:ascii="Arial" w:eastAsia="Arial" w:hAnsi="Arial" w:cs="Arial"/>
          <w:color w:val="000000"/>
        </w:rPr>
        <w:t xml:space="preserve"> is on the premises of an otherwise uncovered establishment so long as the latter establishment holds itself out as serving patrons of the covered establishment.</w:t>
      </w:r>
      <w:r>
        <w:rPr>
          <w:rFonts w:ascii="Arial" w:eastAsia="Arial" w:hAnsi="Arial" w:cs="Arial"/>
          <w:vertAlign w:val="superscript"/>
        </w:rPr>
        <w:footnoteReference w:customMarkFollows="1" w:id="115"/>
        <w:t>n9</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90" style="position:absolute;z-index:25176166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[westkey]1020, 1044, 1046, 1047, 1049, </w:t>
      </w:r>
      <w:r>
        <w:rPr>
          <w:rFonts w:ascii="Arial" w:eastAsia="Arial" w:hAnsi="Arial" w:cs="Arial"/>
          <w:color w:val="000000"/>
        </w:rPr>
        <w:t>1808</w:t>
      </w:r>
    </w:p>
    <w:p w:rsidR="007A6EB4" w:rsidRDefault="006F3363">
      <w:pPr>
        <w:spacing w:before="120" w:line="300" w:lineRule="atLeast"/>
      </w:pPr>
      <w:r>
        <w:rPr>
          <w:rFonts w:ascii="Arial" w:eastAsia="Arial" w:hAnsi="Arial" w:cs="Arial"/>
          <w:color w:val="000000"/>
        </w:rPr>
        <w:t>West's Key Number Digest, Innkeepers [westkey]9</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Public Accommodations</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[westkey]1020, 1044, 1046, 1047, 1049, 1808</w:t>
      </w:r>
    </w:p>
    <w:p w:rsidR="007A6EB4" w:rsidRDefault="006F3363">
      <w:pPr>
        <w:spacing w:before="120" w:line="300" w:lineRule="atLeast"/>
      </w:pPr>
      <w:r>
        <w:rPr>
          <w:rFonts w:ascii="Arial" w:eastAsia="Arial" w:hAnsi="Arial" w:cs="Arial"/>
          <w:color w:val="000000"/>
        </w:rPr>
        <w:t>West's</w:t>
      </w:r>
      <w:r>
        <w:rPr>
          <w:rFonts w:ascii="Arial" w:eastAsia="Arial" w:hAnsi="Arial" w:cs="Arial"/>
          <w:color w:val="000000"/>
        </w:rPr>
        <w:t xml:space="preserve"> A.L.R. Digest, Innkeepers [westkey]9</w:t>
      </w:r>
    </w:p>
    <w:p w:rsidR="007A6EB4" w:rsidRDefault="006F3363">
      <w:pPr>
        <w:spacing w:before="120" w:line="300" w:lineRule="atLeast"/>
      </w:pPr>
      <w:r>
        <w:rPr>
          <w:rFonts w:ascii="Arial" w:eastAsia="Arial" w:hAnsi="Arial" w:cs="Arial"/>
          <w:color w:val="000000"/>
        </w:rPr>
        <w:t>Am. Jur. 2d, Civil Rights §§ 223 to 286</w:t>
      </w:r>
    </w:p>
    <w:p w:rsidR="007A6EB4" w:rsidRDefault="006F3363">
      <w:pPr>
        <w:spacing w:before="120" w:line="300" w:lineRule="atLeast"/>
      </w:pPr>
      <w:r>
        <w:rPr>
          <w:rFonts w:ascii="Arial" w:eastAsia="Arial" w:hAnsi="Arial" w:cs="Arial"/>
          <w:color w:val="000000"/>
        </w:rPr>
        <w:t>C.J.S., Civil Rights §§ 76 to 105</w:t>
      </w:r>
    </w:p>
    <w:p w:rsidR="007A6EB4" w:rsidRDefault="006F3363">
      <w:pPr>
        <w:spacing w:before="120" w:line="300" w:lineRule="atLeast"/>
      </w:pPr>
      <w:r>
        <w:rPr>
          <w:rFonts w:ascii="Arial" w:eastAsia="Arial" w:hAnsi="Arial" w:cs="Arial"/>
          <w:color w:val="000000"/>
        </w:rPr>
        <w:t>Am. Jur. Pleading and Practice Forms, Civil Rights §§ 28 to 38</w:t>
      </w:r>
    </w:p>
    <w:p w:rsidR="007A6EB4" w:rsidRDefault="006F3363">
      <w:pPr>
        <w:spacing w:before="120" w:line="300" w:lineRule="atLeast"/>
      </w:pPr>
      <w:r>
        <w:rPr>
          <w:rFonts w:ascii="Arial" w:eastAsia="Arial" w:hAnsi="Arial" w:cs="Arial"/>
          <w:color w:val="000000"/>
        </w:rPr>
        <w:t>Florida Pleading and Practice Forms §§ 32:10 to 32:14</w:t>
      </w:r>
    </w:p>
    <w:p w:rsidR="007A6EB4" w:rsidRDefault="006F3363">
      <w:pPr>
        <w:spacing w:before="120" w:line="300" w:lineRule="atLeast"/>
      </w:pPr>
      <w:r>
        <w:rPr>
          <w:rFonts w:ascii="Arial" w:eastAsia="Arial" w:hAnsi="Arial" w:cs="Arial"/>
          <w:color w:val="000000"/>
        </w:rPr>
        <w:t>West's Key Number Digest, C</w:t>
      </w:r>
      <w:r>
        <w:rPr>
          <w:rFonts w:ascii="Arial" w:eastAsia="Arial" w:hAnsi="Arial" w:cs="Arial"/>
          <w:color w:val="000000"/>
        </w:rPr>
        <w:t>ivil Rights [westkey]1020, 1044, 1046, 1047, 1049</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91" style="position:absolute;z-index:25180774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760.08, Fla. Stat. was amended, effective July 1, 2015, to additionally prohibit discrimination on the basis of pregnancy in places of public accommodation.</w:t>
      </w:r>
    </w:p>
    <w:p w:rsidR="007A6EB4" w:rsidRDefault="006F3363">
      <w:pPr>
        <w:spacing w:before="200" w:line="300" w:lineRule="atLeast"/>
        <w:jc w:val="both"/>
      </w:pPr>
      <w:r>
        <w:rPr>
          <w:rFonts w:ascii="Arial" w:eastAsia="Arial" w:hAnsi="Arial" w:cs="Arial"/>
          <w:color w:val="000000"/>
        </w:rPr>
        <w:lastRenderedPageBreak/>
        <w:t xml:space="preserve">§ </w:t>
      </w:r>
      <w:r>
        <w:rPr>
          <w:rFonts w:ascii="Arial" w:eastAsia="Arial" w:hAnsi="Arial" w:cs="Arial"/>
          <w:color w:val="000000"/>
        </w:rPr>
        <w:t>760.10(1)(a), (b), Fla. Stat. were amended, effective July 1, 2015, to add an individual's pregnancy to the list of an individual's attributes making the specified actions referred to in the statute unlawful employment practices.</w:t>
      </w:r>
    </w:p>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Existence of cafeter</w:t>
      </w:r>
      <w:r>
        <w:rPr>
          <w:rFonts w:ascii="Arial" w:eastAsia="Arial" w:hAnsi="Arial" w:cs="Arial"/>
          <w:color w:val="000000"/>
        </w:rPr>
        <w:t>ia on grounds of private hospital did not cause hospital to qualify as public accommodation under state Civil Rights Act, which prohibited discrimination based on handicap in places of public accommodation, such that Commission on Human Relations lacked au</w:t>
      </w:r>
      <w:r>
        <w:rPr>
          <w:rFonts w:ascii="Arial" w:eastAsia="Arial" w:hAnsi="Arial" w:cs="Arial"/>
          <w:color w:val="000000"/>
        </w:rPr>
        <w:t>thority to investigate complaint against hospital under Act for failure to provide deaf patient with interpreter during his admission to hospital; establishments listed in Act as places of public accommodation did not include hospitals, and Act included sp</w:t>
      </w:r>
      <w:r>
        <w:rPr>
          <w:rFonts w:ascii="Arial" w:eastAsia="Arial" w:hAnsi="Arial" w:cs="Arial"/>
          <w:color w:val="000000"/>
        </w:rPr>
        <w:t>ecific language that excluded from its provisions food service establishments located in private hospitals. West's F.S.A. §§ 509.092, 509.013(5)(a)-(b)(4), 760.02(11), 760.06(5), 760.08. Crane v. Lifemark Hosp. of Fla., Inc., 149 So. 3d 718 (Fla. 3d DCA 20</w:t>
      </w:r>
      <w:r>
        <w:rPr>
          <w:rFonts w:ascii="Arial" w:eastAsia="Arial" w:hAnsi="Arial" w:cs="Arial"/>
          <w:color w:val="000000"/>
        </w:rPr>
        <w:t>14).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92" style="position:absolute;left:0;text-align:left;z-index:25184972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79"/>
          <w:headerReference w:type="default" r:id="rId80"/>
          <w:footerReference w:type="even" r:id="rId81"/>
          <w:footerReference w:type="default" r:id="rId82"/>
          <w:headerReference w:type="first" r:id="rId83"/>
          <w:footerReference w:type="first" r:id="rId84"/>
          <w:pgSz w:w="12240" w:h="15840"/>
          <w:pgMar w:top="840" w:right="1000" w:bottom="840" w:left="1000" w:header="400" w:footer="400" w:gutter="0"/>
          <w:cols w:space="720"/>
          <w:titlePg/>
        </w:sectPr>
      </w:pPr>
    </w:p>
    <w:p w:rsidR="007A6EB4" w:rsidRDefault="007A6EB4">
      <w:bookmarkStart w:id="13" w:name="Bookmark_13"/>
      <w:bookmarkEnd w:id="13"/>
    </w:p>
    <w:p w:rsidR="007A6EB4" w:rsidRDefault="006F3363">
      <w:r>
        <w:pict>
          <v:shape id="_x0000_i1037"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12</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 xml:space="preserve">Florida </w:t>
      </w:r>
      <w:r>
        <w:rPr>
          <w:rFonts w:ascii="Arial" w:eastAsia="Arial" w:hAnsi="Arial" w:cs="Arial"/>
          <w:b/>
          <w:i/>
          <w:color w:val="000000"/>
          <w:sz w:val="22"/>
        </w:rPr>
        <w:t>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A. Discrimination in Places of Public Accommodation</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094" style="position:absolute;z-index:25167052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12 Refusal of accommodation; removal of guest</w:t>
      </w:r>
    </w:p>
    <w:p w:rsidR="007A6EB4" w:rsidRDefault="006F3363">
      <w:pPr>
        <w:spacing w:line="60" w:lineRule="exact"/>
      </w:pPr>
      <w:r>
        <w:pict>
          <v:line id="_x0000_s1095" style="position:absolute;z-index:25171660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Public lodging establishments and public food </w:t>
      </w:r>
      <w:r>
        <w:rPr>
          <w:rFonts w:ascii="Arial" w:eastAsia="Arial" w:hAnsi="Arial" w:cs="Arial"/>
          <w:color w:val="000000"/>
        </w:rPr>
        <w:t>service establishments are private enterprises, and the operator has the right to refuse accommodations or service to any person who is objectionable or undesirable to the operator</w:t>
      </w:r>
      <w:r>
        <w:rPr>
          <w:rFonts w:ascii="Arial" w:eastAsia="Arial" w:hAnsi="Arial" w:cs="Arial"/>
          <w:vertAlign w:val="superscript"/>
        </w:rPr>
        <w:footnoteReference w:customMarkFollows="1" w:id="116"/>
        <w:t>n1</w:t>
      </w:r>
      <w:r>
        <w:rPr>
          <w:rFonts w:ascii="Arial" w:eastAsia="Arial" w:hAnsi="Arial" w:cs="Arial"/>
          <w:color w:val="000000"/>
        </w:rPr>
        <w:t xml:space="preserve"> as long as refusal is not based upon race, creed, color, sex, physical di</w:t>
      </w:r>
      <w:r>
        <w:rPr>
          <w:rFonts w:ascii="Arial" w:eastAsia="Arial" w:hAnsi="Arial" w:cs="Arial"/>
          <w:color w:val="000000"/>
        </w:rPr>
        <w:t>sability, or national origin; a person aggrieved by such a violation may file a complaint with the Florida Commission on Human Relations under the applicable statutory provision.</w:t>
      </w:r>
      <w:r>
        <w:rPr>
          <w:rFonts w:ascii="Arial" w:eastAsia="Arial" w:hAnsi="Arial" w:cs="Arial"/>
          <w:vertAlign w:val="superscript"/>
        </w:rPr>
        <w:footnoteReference w:customMarkFollows="1" w:id="117"/>
        <w:t>n2</w:t>
      </w:r>
    </w:p>
    <w:p w:rsidR="007A6EB4" w:rsidRDefault="006F3363">
      <w:pPr>
        <w:spacing w:before="200" w:line="300" w:lineRule="atLeast"/>
        <w:jc w:val="both"/>
      </w:pPr>
      <w:r>
        <w:rPr>
          <w:rFonts w:ascii="Arial" w:eastAsia="Arial" w:hAnsi="Arial" w:cs="Arial"/>
          <w:color w:val="000000"/>
        </w:rPr>
        <w:t>In addition to the protections provided by the Civil Rights Act, it is prov</w:t>
      </w:r>
      <w:r>
        <w:rPr>
          <w:rFonts w:ascii="Arial" w:eastAsia="Arial" w:hAnsi="Arial" w:cs="Arial"/>
          <w:color w:val="000000"/>
        </w:rPr>
        <w:t>ided by statute that, although the operator of a public lodging or food service establishment has the right to remove a guest who is objectionable or undesirable to the operator, removal from the establishment must not be based upon race, creed, color, sex</w:t>
      </w:r>
      <w:r>
        <w:rPr>
          <w:rFonts w:ascii="Arial" w:eastAsia="Arial" w:hAnsi="Arial" w:cs="Arial"/>
          <w:color w:val="000000"/>
        </w:rPr>
        <w:t>, physical disability, or national origin.</w:t>
      </w:r>
      <w:r>
        <w:rPr>
          <w:rFonts w:ascii="Arial" w:eastAsia="Arial" w:hAnsi="Arial" w:cs="Arial"/>
          <w:vertAlign w:val="superscript"/>
        </w:rPr>
        <w:footnoteReference w:customMarkFollows="1" w:id="118"/>
        <w:t>n3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096" style="position:absolute;z-index:25176268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[westkey]1020, 1044, 1046, 1047, 1049, 1808</w:t>
      </w:r>
    </w:p>
    <w:p w:rsidR="007A6EB4" w:rsidRDefault="006F3363">
      <w:pPr>
        <w:spacing w:before="120" w:line="300" w:lineRule="atLeast"/>
      </w:pPr>
      <w:r>
        <w:rPr>
          <w:rFonts w:ascii="Arial" w:eastAsia="Arial" w:hAnsi="Arial" w:cs="Arial"/>
          <w:color w:val="000000"/>
        </w:rPr>
        <w:t>West's Key Number Digest, Innkeepers [westkey]9</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 xml:space="preserve">A.L.R. Index, </w:t>
      </w:r>
      <w:r>
        <w:rPr>
          <w:rFonts w:ascii="Arial" w:eastAsia="Arial" w:hAnsi="Arial" w:cs="Arial"/>
          <w:color w:val="000000"/>
        </w:rPr>
        <w:t>Public Accommodations</w:t>
      </w:r>
    </w:p>
    <w:p w:rsidR="007A6EB4" w:rsidRDefault="006F3363">
      <w:pPr>
        <w:spacing w:before="120" w:line="300" w:lineRule="atLeast"/>
      </w:pPr>
      <w:r>
        <w:rPr>
          <w:rFonts w:ascii="Arial" w:eastAsia="Arial" w:hAnsi="Arial" w:cs="Arial"/>
          <w:color w:val="000000"/>
        </w:rPr>
        <w:lastRenderedPageBreak/>
        <w:t>A.L.R. Index, Racial Discrimination</w:t>
      </w:r>
    </w:p>
    <w:p w:rsidR="007A6EB4" w:rsidRDefault="006F3363">
      <w:pPr>
        <w:spacing w:before="120" w:line="300" w:lineRule="atLeast"/>
      </w:pPr>
      <w:r>
        <w:rPr>
          <w:rFonts w:ascii="Arial" w:eastAsia="Arial" w:hAnsi="Arial" w:cs="Arial"/>
          <w:color w:val="000000"/>
        </w:rPr>
        <w:t>West's A.L.R. Digest, Civil Rights [westkey]1020, 1044, 1046, 1047, 1049, 1808</w:t>
      </w:r>
    </w:p>
    <w:p w:rsidR="007A6EB4" w:rsidRDefault="006F3363">
      <w:pPr>
        <w:spacing w:before="120" w:line="300" w:lineRule="atLeast"/>
      </w:pPr>
      <w:r>
        <w:rPr>
          <w:rFonts w:ascii="Arial" w:eastAsia="Arial" w:hAnsi="Arial" w:cs="Arial"/>
          <w:color w:val="000000"/>
        </w:rPr>
        <w:t>West's A.L.R. Digest, Innkeepers [westkey]9</w:t>
      </w:r>
    </w:p>
    <w:p w:rsidR="007A6EB4" w:rsidRDefault="006F3363">
      <w:pPr>
        <w:spacing w:before="120" w:line="300" w:lineRule="atLeast"/>
      </w:pPr>
      <w:r>
        <w:rPr>
          <w:rFonts w:ascii="Arial" w:eastAsia="Arial" w:hAnsi="Arial" w:cs="Arial"/>
          <w:color w:val="000000"/>
        </w:rPr>
        <w:t>Am. Jur. 2d, Civil Rights §§ 223 to 286</w:t>
      </w:r>
    </w:p>
    <w:p w:rsidR="007A6EB4" w:rsidRDefault="006F3363">
      <w:pPr>
        <w:spacing w:before="120" w:line="300" w:lineRule="atLeast"/>
      </w:pPr>
      <w:r>
        <w:rPr>
          <w:rFonts w:ascii="Arial" w:eastAsia="Arial" w:hAnsi="Arial" w:cs="Arial"/>
          <w:color w:val="000000"/>
        </w:rPr>
        <w:t>C.J.S., Civil Rights §§ 76 to 105</w:t>
      </w:r>
    </w:p>
    <w:p w:rsidR="007A6EB4" w:rsidRDefault="006F3363">
      <w:pPr>
        <w:spacing w:before="120" w:line="300" w:lineRule="atLeast"/>
      </w:pPr>
      <w:r>
        <w:rPr>
          <w:rFonts w:ascii="Arial" w:eastAsia="Arial" w:hAnsi="Arial" w:cs="Arial"/>
          <w:color w:val="000000"/>
        </w:rPr>
        <w:t>A</w:t>
      </w:r>
      <w:r>
        <w:rPr>
          <w:rFonts w:ascii="Arial" w:eastAsia="Arial" w:hAnsi="Arial" w:cs="Arial"/>
          <w:color w:val="000000"/>
        </w:rPr>
        <w:t>m. Jur. Pleading and Practice Forms, Civil Rights §§ 28 to 38</w:t>
      </w:r>
    </w:p>
    <w:p w:rsidR="007A6EB4" w:rsidRDefault="006F3363">
      <w:pPr>
        <w:spacing w:before="120" w:line="300" w:lineRule="atLeast"/>
      </w:pPr>
      <w:r>
        <w:rPr>
          <w:rFonts w:ascii="Arial" w:eastAsia="Arial" w:hAnsi="Arial" w:cs="Arial"/>
          <w:color w:val="000000"/>
        </w:rPr>
        <w:t>Florida Pleading and Practice Forms §§ 32:10 to 32:14</w:t>
      </w:r>
    </w:p>
    <w:p w:rsidR="007A6EB4" w:rsidRDefault="006F3363">
      <w:pPr>
        <w:spacing w:before="120" w:line="300" w:lineRule="atLeast"/>
      </w:pPr>
      <w:r>
        <w:rPr>
          <w:rFonts w:ascii="Arial" w:eastAsia="Arial" w:hAnsi="Arial" w:cs="Arial"/>
          <w:color w:val="000000"/>
        </w:rPr>
        <w:t>West's Key Number Digest, Civil Rights [westkey]1046</w:t>
      </w:r>
    </w:p>
    <w:p w:rsidR="007A6EB4" w:rsidRDefault="006F3363">
      <w:pPr>
        <w:spacing w:before="120" w:line="300" w:lineRule="atLeast"/>
      </w:pPr>
      <w:r>
        <w:rPr>
          <w:rFonts w:ascii="Arial" w:eastAsia="Arial" w:hAnsi="Arial" w:cs="Arial"/>
          <w:color w:val="000000"/>
        </w:rPr>
        <w:t>West's Key Number Digest, Innkeepers [westkey]9</w:t>
      </w:r>
    </w:p>
    <w:p w:rsidR="007A6EB4" w:rsidRDefault="006F3363">
      <w:pPr>
        <w:spacing w:before="120" w:line="300" w:lineRule="atLeast"/>
      </w:pPr>
      <w:r>
        <w:rPr>
          <w:rFonts w:ascii="Arial" w:eastAsia="Arial" w:hAnsi="Arial" w:cs="Arial"/>
          <w:color w:val="000000"/>
        </w:rPr>
        <w:t xml:space="preserve">Am. Jur. Pleading and Practice </w:t>
      </w:r>
      <w:r>
        <w:rPr>
          <w:rFonts w:ascii="Arial" w:eastAsia="Arial" w:hAnsi="Arial" w:cs="Arial"/>
          <w:color w:val="000000"/>
        </w:rPr>
        <w:t>Forms, Civil Rights §§ 28 to 35 (Complaint, petition, or declaration -- Refusal of public accommodations -- Racial discrimination)</w:t>
      </w:r>
    </w:p>
    <w:p w:rsidR="007A6EB4" w:rsidRDefault="006F3363">
      <w:pPr>
        <w:spacing w:before="120" w:line="300" w:lineRule="atLeast"/>
      </w:pPr>
      <w:r>
        <w:rPr>
          <w:rFonts w:ascii="Arial" w:eastAsia="Arial" w:hAnsi="Arial" w:cs="Arial"/>
          <w:color w:val="000000"/>
        </w:rPr>
        <w:t>Am. Jur. Pleading and Practice Forms, Civil Rights §§ 36 to 38 (Complaint, petition, or declaration -- Refusal of public acco</w:t>
      </w:r>
      <w:r>
        <w:rPr>
          <w:rFonts w:ascii="Arial" w:eastAsia="Arial" w:hAnsi="Arial" w:cs="Arial"/>
          <w:color w:val="000000"/>
        </w:rPr>
        <w:t>mmodations -- Sexual or sexual preference discrimination)</w:t>
      </w:r>
    </w:p>
    <w:p w:rsidR="007A6EB4" w:rsidRDefault="006F3363">
      <w:pPr>
        <w:spacing w:before="120" w:line="300" w:lineRule="atLeast"/>
      </w:pPr>
      <w:r>
        <w:rPr>
          <w:rFonts w:ascii="Arial" w:eastAsia="Arial" w:hAnsi="Arial" w:cs="Arial"/>
          <w:color w:val="000000"/>
        </w:rPr>
        <w:t>Florida Pleading and Practice Forms §§ 32:10 to 32:13 (Complaint -- Refusal of public accommodations based on statutorily prohibited conduct)</w:t>
      </w:r>
    </w:p>
    <w:p w:rsidR="007A6EB4" w:rsidRDefault="006F3363">
      <w:pPr>
        <w:spacing w:before="120" w:line="300" w:lineRule="atLeast"/>
      </w:pPr>
      <w:r>
        <w:rPr>
          <w:rFonts w:ascii="Arial" w:eastAsia="Arial" w:hAnsi="Arial" w:cs="Arial"/>
          <w:color w:val="000000"/>
        </w:rPr>
        <w:t>Florida Pleading and Practice Forms § 32:14 (Answer -- D</w:t>
      </w:r>
      <w:r>
        <w:rPr>
          <w:rFonts w:ascii="Arial" w:eastAsia="Arial" w:hAnsi="Arial" w:cs="Arial"/>
          <w:color w:val="000000"/>
        </w:rPr>
        <w:t>efense -- Refusal of public accommodations based on plaintiff's intoxication and use of profanity)</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097" style="position:absolute;z-index:25180876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509.092, Fla. Stat. was amended, effective July 1, 2015, to prohibit discrimination on the basis of pregnancy in public lodging and</w:t>
      </w:r>
      <w:r>
        <w:rPr>
          <w:rFonts w:ascii="Arial" w:eastAsia="Arial" w:hAnsi="Arial" w:cs="Arial"/>
          <w:color w:val="000000"/>
        </w:rPr>
        <w:t xml:space="preserve"> food service establishments.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098" style="position:absolute;left:0;text-align:left;z-index:25185075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85"/>
          <w:headerReference w:type="default" r:id="rId86"/>
          <w:footerReference w:type="even" r:id="rId87"/>
          <w:footerReference w:type="default" r:id="rId88"/>
          <w:headerReference w:type="first" r:id="rId89"/>
          <w:footerReference w:type="first" r:id="rId90"/>
          <w:pgSz w:w="12240" w:h="15840"/>
          <w:pgMar w:top="840" w:right="1000" w:bottom="840" w:left="1000" w:header="400" w:footer="400" w:gutter="0"/>
          <w:cols w:space="720"/>
          <w:titlePg/>
        </w:sectPr>
      </w:pPr>
    </w:p>
    <w:p w:rsidR="007A6EB4" w:rsidRDefault="007A6EB4">
      <w:bookmarkStart w:id="14" w:name="Bookmark_14"/>
      <w:bookmarkEnd w:id="14"/>
    </w:p>
    <w:p w:rsidR="007A6EB4" w:rsidRDefault="006F3363">
      <w:r>
        <w:pict>
          <v:shape id="_x0000_i1038"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13</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A. Discrimination in Places of Public Accommodation</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00" style="position:absolute;z-index:25167155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13 Accommodation rights of physically disabled persons</w:t>
      </w:r>
    </w:p>
    <w:p w:rsidR="007A6EB4" w:rsidRDefault="006F3363">
      <w:pPr>
        <w:spacing w:line="60" w:lineRule="exact"/>
      </w:pPr>
      <w:r>
        <w:pict>
          <v:line id="_x0000_s1101" style="position:absolute;z-index:25171763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In addition to the </w:t>
      </w:r>
      <w:r>
        <w:rPr>
          <w:rFonts w:ascii="Arial" w:eastAsia="Arial" w:hAnsi="Arial" w:cs="Arial"/>
          <w:color w:val="000000"/>
        </w:rPr>
        <w:t>protections afforded by the Civil Rights Act, an individual with a disability is entitled to full and equal accommodations, advantages, facilities, and privileges in all public accommodations.</w:t>
      </w:r>
      <w:r>
        <w:rPr>
          <w:rFonts w:ascii="Arial" w:eastAsia="Arial" w:hAnsi="Arial" w:cs="Arial"/>
          <w:vertAlign w:val="superscript"/>
        </w:rPr>
        <w:footnoteReference w:customMarkFollows="1" w:id="119"/>
        <w:t>n1</w:t>
      </w:r>
      <w:r>
        <w:rPr>
          <w:rFonts w:ascii="Arial" w:eastAsia="Arial" w:hAnsi="Arial" w:cs="Arial"/>
          <w:color w:val="000000"/>
        </w:rPr>
        <w:t xml:space="preserve"> However, no person, firm, business, or corporation, or any ag</w:t>
      </w:r>
      <w:r>
        <w:rPr>
          <w:rFonts w:ascii="Arial" w:eastAsia="Arial" w:hAnsi="Arial" w:cs="Arial"/>
          <w:color w:val="000000"/>
        </w:rPr>
        <w:t>ent thereof, is required to modify or provide any vehicle, premises, facility, or service to a higher degree of accommodation than is required for a person not so disabled.</w:t>
      </w:r>
      <w:r>
        <w:rPr>
          <w:rFonts w:ascii="Arial" w:eastAsia="Arial" w:hAnsi="Arial" w:cs="Arial"/>
          <w:vertAlign w:val="superscript"/>
        </w:rPr>
        <w:footnoteReference w:customMarkFollows="1" w:id="120"/>
        <w:t>n2</w:t>
      </w:r>
    </w:p>
    <w:p w:rsidR="007A6EB4" w:rsidRDefault="006F3363">
      <w:pPr>
        <w:spacing w:before="200" w:line="300" w:lineRule="atLeast"/>
        <w:jc w:val="both"/>
      </w:pPr>
      <w:r>
        <w:rPr>
          <w:rFonts w:ascii="Arial" w:eastAsia="Arial" w:hAnsi="Arial" w:cs="Arial"/>
          <w:color w:val="000000"/>
        </w:rPr>
        <w:t>Such persons are entitled to be accompanied by a service animal in all areas of a</w:t>
      </w:r>
      <w:r>
        <w:rPr>
          <w:rFonts w:ascii="Arial" w:eastAsia="Arial" w:hAnsi="Arial" w:cs="Arial"/>
          <w:color w:val="000000"/>
        </w:rPr>
        <w:t xml:space="preserve"> public accommodation that the public or customers are normally permitted to occupy.</w:t>
      </w:r>
      <w:r>
        <w:rPr>
          <w:rFonts w:ascii="Arial" w:eastAsia="Arial" w:hAnsi="Arial" w:cs="Arial"/>
          <w:vertAlign w:val="superscript"/>
        </w:rPr>
        <w:footnoteReference w:customMarkFollows="1" w:id="121"/>
        <w:t>n3</w:t>
      </w:r>
    </w:p>
    <w:p w:rsidR="007A6EB4" w:rsidRDefault="006F3363">
      <w:pPr>
        <w:spacing w:before="200" w:line="300" w:lineRule="atLeast"/>
        <w:jc w:val="both"/>
      </w:pPr>
      <w:r>
        <w:rPr>
          <w:rFonts w:ascii="Arial" w:eastAsia="Arial" w:hAnsi="Arial" w:cs="Arial"/>
          <w:color w:val="000000"/>
        </w:rPr>
        <w:t>Observation: Any trainer of a service animal, while engaged in the training of such an animal, has the same rights and privileges with respect to access to public facili</w:t>
      </w:r>
      <w:r>
        <w:rPr>
          <w:rFonts w:ascii="Arial" w:eastAsia="Arial" w:hAnsi="Arial" w:cs="Arial"/>
          <w:color w:val="000000"/>
        </w:rPr>
        <w:t>ties and the same liability for damage as is provided for those persons described above, accompanied by service animals.</w:t>
      </w:r>
      <w:r>
        <w:rPr>
          <w:rFonts w:ascii="Arial" w:eastAsia="Arial" w:hAnsi="Arial" w:cs="Arial"/>
          <w:vertAlign w:val="superscript"/>
        </w:rPr>
        <w:footnoteReference w:customMarkFollows="1" w:id="122"/>
        <w:t>n4</w:t>
      </w:r>
    </w:p>
    <w:p w:rsidR="007A6EB4" w:rsidRDefault="006F3363">
      <w:pPr>
        <w:spacing w:before="200" w:line="300" w:lineRule="atLeast"/>
        <w:jc w:val="both"/>
      </w:pPr>
      <w:r>
        <w:rPr>
          <w:rFonts w:ascii="Arial" w:eastAsia="Arial" w:hAnsi="Arial" w:cs="Arial"/>
          <w:color w:val="000000"/>
        </w:rPr>
        <w:t>Definitions: For purposes of the applicable statute,</w:t>
      </w:r>
      <w:r>
        <w:rPr>
          <w:rFonts w:ascii="Arial" w:eastAsia="Arial" w:hAnsi="Arial" w:cs="Arial"/>
          <w:vertAlign w:val="superscript"/>
        </w:rPr>
        <w:footnoteReference w:customMarkFollows="1" w:id="123"/>
        <w:t>n5</w:t>
      </w:r>
      <w:r>
        <w:rPr>
          <w:rFonts w:ascii="Arial" w:eastAsia="Arial" w:hAnsi="Arial" w:cs="Arial"/>
          <w:color w:val="000000"/>
        </w:rPr>
        <w:t xml:space="preserve"> an "individual with a disability" means a person who is deaf, hard of hearing, blind, visually impaired, or otherwise physically disabled.</w:t>
      </w:r>
      <w:r>
        <w:rPr>
          <w:rFonts w:ascii="Arial" w:eastAsia="Arial" w:hAnsi="Arial" w:cs="Arial"/>
          <w:vertAlign w:val="superscript"/>
        </w:rPr>
        <w:footnoteReference w:customMarkFollows="1" w:id="124"/>
        <w:t>n6</w:t>
      </w:r>
      <w:r>
        <w:rPr>
          <w:rFonts w:ascii="Arial" w:eastAsia="Arial" w:hAnsi="Arial" w:cs="Arial"/>
          <w:color w:val="000000"/>
        </w:rPr>
        <w:t xml:space="preserve"> Also, for such purposes, "public accommodation" means a common carrier, airplane, motor </w:t>
      </w:r>
      <w:r>
        <w:rPr>
          <w:rFonts w:ascii="Arial" w:eastAsia="Arial" w:hAnsi="Arial" w:cs="Arial"/>
          <w:color w:val="000000"/>
        </w:rPr>
        <w:lastRenderedPageBreak/>
        <w:t>vehicle, railroad train, m</w:t>
      </w:r>
      <w:r>
        <w:rPr>
          <w:rFonts w:ascii="Arial" w:eastAsia="Arial" w:hAnsi="Arial" w:cs="Arial"/>
          <w:color w:val="000000"/>
        </w:rPr>
        <w:t>otor bus, streetcar, boat, or other public conveyance or mode of transportation; hotel; lodging place; place of public accommodation, amusement, or resort; and other places to which the general public is invited, subject only to the conditions and limitati</w:t>
      </w:r>
      <w:r>
        <w:rPr>
          <w:rFonts w:ascii="Arial" w:eastAsia="Arial" w:hAnsi="Arial" w:cs="Arial"/>
          <w:color w:val="000000"/>
        </w:rPr>
        <w:t>ons established by law and applicable alike to all persons.</w:t>
      </w:r>
      <w:r>
        <w:rPr>
          <w:rFonts w:ascii="Arial" w:eastAsia="Arial" w:hAnsi="Arial" w:cs="Arial"/>
          <w:vertAlign w:val="superscript"/>
        </w:rPr>
        <w:footnoteReference w:customMarkFollows="1" w:id="125"/>
        <w:t>n7</w:t>
      </w:r>
    </w:p>
    <w:p w:rsidR="007A6EB4" w:rsidRDefault="006F3363">
      <w:pPr>
        <w:spacing w:before="200" w:line="300" w:lineRule="atLeast"/>
        <w:jc w:val="both"/>
      </w:pPr>
      <w:r>
        <w:rPr>
          <w:rFonts w:ascii="Arial" w:eastAsia="Arial" w:hAnsi="Arial" w:cs="Arial"/>
          <w:color w:val="000000"/>
        </w:rPr>
        <w:t>Illustration: The Florida Civil Rights Act's narrow definition of "public accommodation"</w:t>
      </w:r>
      <w:r>
        <w:rPr>
          <w:rFonts w:ascii="Arial" w:eastAsia="Arial" w:hAnsi="Arial" w:cs="Arial"/>
          <w:vertAlign w:val="superscript"/>
        </w:rPr>
        <w:footnoteReference w:customMarkFollows="1" w:id="126"/>
        <w:t>n8</w:t>
      </w:r>
      <w:r>
        <w:rPr>
          <w:rFonts w:ascii="Arial" w:eastAsia="Arial" w:hAnsi="Arial" w:cs="Arial"/>
          <w:color w:val="000000"/>
        </w:rPr>
        <w:t xml:space="preserve"> did not apply to the diagnostic imaging facility to which a blind individual, accompanied by her guide </w:t>
      </w:r>
      <w:r>
        <w:rPr>
          <w:rFonts w:ascii="Arial" w:eastAsia="Arial" w:hAnsi="Arial" w:cs="Arial"/>
          <w:color w:val="000000"/>
        </w:rPr>
        <w:t>dog, brought her minor child for his magnetic resonance imaging examination, nor could this individual import into the Act the broader definition of "public accommodation" set forth in Florida's service animal statute</w:t>
      </w:r>
      <w:r>
        <w:rPr>
          <w:rFonts w:ascii="Arial" w:eastAsia="Arial" w:hAnsi="Arial" w:cs="Arial"/>
          <w:vertAlign w:val="superscript"/>
        </w:rPr>
        <w:footnoteReference w:customMarkFollows="1" w:id="127"/>
        <w:t>n9</w:t>
      </w:r>
      <w:r>
        <w:rPr>
          <w:rFonts w:ascii="Arial" w:eastAsia="Arial" w:hAnsi="Arial" w:cs="Arial"/>
          <w:color w:val="000000"/>
        </w:rPr>
        <w:t xml:space="preserve"> where the facility at issue was a me</w:t>
      </w:r>
      <w:r>
        <w:rPr>
          <w:rFonts w:ascii="Arial" w:eastAsia="Arial" w:hAnsi="Arial" w:cs="Arial"/>
          <w:color w:val="000000"/>
        </w:rPr>
        <w:t>dical facility, not a lodging, food, or entertainment establishment, and the Act expressly stated that its narrow definition of "public accommodation" applied to the provisions applied to the provisions of the Act,</w:t>
      </w:r>
      <w:r>
        <w:rPr>
          <w:rFonts w:ascii="Arial" w:eastAsia="Arial" w:hAnsi="Arial" w:cs="Arial"/>
          <w:vertAlign w:val="superscript"/>
        </w:rPr>
        <w:footnoteReference w:customMarkFollows="1" w:id="128"/>
        <w:t>n10</w:t>
      </w:r>
      <w:r>
        <w:rPr>
          <w:rFonts w:ascii="Arial" w:eastAsia="Arial" w:hAnsi="Arial" w:cs="Arial"/>
          <w:color w:val="000000"/>
        </w:rPr>
        <w:t xml:space="preserve"> that is, for purposes of the Act secti</w:t>
      </w:r>
      <w:r>
        <w:rPr>
          <w:rFonts w:ascii="Arial" w:eastAsia="Arial" w:hAnsi="Arial" w:cs="Arial"/>
          <w:color w:val="000000"/>
        </w:rPr>
        <w:t>on,</w:t>
      </w:r>
      <w:r>
        <w:rPr>
          <w:rFonts w:ascii="Arial" w:eastAsia="Arial" w:hAnsi="Arial" w:cs="Arial"/>
          <w:vertAlign w:val="superscript"/>
        </w:rPr>
        <w:footnoteReference w:customMarkFollows="1" w:id="129"/>
        <w:t>n11</w:t>
      </w:r>
      <w:r>
        <w:rPr>
          <w:rFonts w:ascii="Arial" w:eastAsia="Arial" w:hAnsi="Arial" w:cs="Arial"/>
          <w:color w:val="000000"/>
        </w:rPr>
        <w:t xml:space="preserve"> providing a private right of action for "any Florida statute" making discrimination in places of public accommodation unlawful.</w:t>
      </w:r>
      <w:r>
        <w:rPr>
          <w:rFonts w:ascii="Arial" w:eastAsia="Arial" w:hAnsi="Arial" w:cs="Arial"/>
          <w:vertAlign w:val="superscript"/>
        </w:rPr>
        <w:footnoteReference w:customMarkFollows="1" w:id="130"/>
        <w:t>n12</w:t>
      </w:r>
    </w:p>
    <w:p w:rsidR="007A6EB4" w:rsidRDefault="006F3363">
      <w:pPr>
        <w:spacing w:before="200" w:line="300" w:lineRule="atLeast"/>
        <w:jc w:val="both"/>
      </w:pPr>
      <w:r>
        <w:rPr>
          <w:rFonts w:ascii="Arial" w:eastAsia="Arial" w:hAnsi="Arial" w:cs="Arial"/>
          <w:color w:val="000000"/>
        </w:rPr>
        <w:t>Any person, firm, or corporation, or the agent of any person, firm, or corporation, who denies or interferes with admi</w:t>
      </w:r>
      <w:r>
        <w:rPr>
          <w:rFonts w:ascii="Arial" w:eastAsia="Arial" w:hAnsi="Arial" w:cs="Arial"/>
          <w:color w:val="000000"/>
        </w:rPr>
        <w:t>ttance to, or enjoyment of, a public accommodation or otherwise interferes with the rights of an individual with a disability or the trainer of a service animal while engaged in the training of such an animal commits a misdemeanor of the second degree, pun</w:t>
      </w:r>
      <w:r>
        <w:rPr>
          <w:rFonts w:ascii="Arial" w:eastAsia="Arial" w:hAnsi="Arial" w:cs="Arial"/>
          <w:color w:val="000000"/>
        </w:rPr>
        <w:t>ishable as provided by statute.</w:t>
      </w:r>
      <w:r>
        <w:rPr>
          <w:rFonts w:ascii="Arial" w:eastAsia="Arial" w:hAnsi="Arial" w:cs="Arial"/>
          <w:vertAlign w:val="superscript"/>
        </w:rPr>
        <w:footnoteReference w:customMarkFollows="1" w:id="131"/>
        <w:t>n13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02" style="position:absolute;z-index:25176371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[westkey]1020, 1044, 1046, 1047, 1049, 1808</w:t>
      </w:r>
    </w:p>
    <w:p w:rsidR="007A6EB4" w:rsidRDefault="006F3363">
      <w:pPr>
        <w:spacing w:before="120" w:line="300" w:lineRule="atLeast"/>
      </w:pPr>
      <w:r>
        <w:rPr>
          <w:rFonts w:ascii="Arial" w:eastAsia="Arial" w:hAnsi="Arial" w:cs="Arial"/>
          <w:color w:val="000000"/>
        </w:rPr>
        <w:t>West's Key Number Digest, Innkeepers [westkey]9</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Public Accommoda</w:t>
      </w:r>
      <w:r>
        <w:rPr>
          <w:rFonts w:ascii="Arial" w:eastAsia="Arial" w:hAnsi="Arial" w:cs="Arial"/>
          <w:color w:val="000000"/>
        </w:rPr>
        <w:t>tions</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[westkey]1020, 1044, 1046, 1047, 1049, 1808</w:t>
      </w:r>
    </w:p>
    <w:p w:rsidR="007A6EB4" w:rsidRDefault="006F3363">
      <w:pPr>
        <w:spacing w:before="120" w:line="300" w:lineRule="atLeast"/>
      </w:pPr>
      <w:r>
        <w:rPr>
          <w:rFonts w:ascii="Arial" w:eastAsia="Arial" w:hAnsi="Arial" w:cs="Arial"/>
          <w:color w:val="000000"/>
        </w:rPr>
        <w:t>West's A.L.R. Digest, Innkeepers [westkey]9</w:t>
      </w:r>
    </w:p>
    <w:p w:rsidR="007A6EB4" w:rsidRDefault="006F3363">
      <w:pPr>
        <w:spacing w:before="120" w:line="300" w:lineRule="atLeast"/>
      </w:pPr>
      <w:r>
        <w:rPr>
          <w:rFonts w:ascii="Arial" w:eastAsia="Arial" w:hAnsi="Arial" w:cs="Arial"/>
          <w:color w:val="000000"/>
        </w:rPr>
        <w:t>Am. Jur. 2d, Civil Rights §§ 223 to 286</w:t>
      </w:r>
    </w:p>
    <w:p w:rsidR="007A6EB4" w:rsidRDefault="006F3363">
      <w:pPr>
        <w:spacing w:before="120" w:line="300" w:lineRule="atLeast"/>
      </w:pPr>
      <w:r>
        <w:rPr>
          <w:rFonts w:ascii="Arial" w:eastAsia="Arial" w:hAnsi="Arial" w:cs="Arial"/>
          <w:color w:val="000000"/>
        </w:rPr>
        <w:t>C.J.S., Civil Rights §§ 76 to 105</w:t>
      </w:r>
    </w:p>
    <w:p w:rsidR="007A6EB4" w:rsidRDefault="006F3363">
      <w:pPr>
        <w:spacing w:before="120" w:line="300" w:lineRule="atLeast"/>
      </w:pPr>
      <w:r>
        <w:rPr>
          <w:rFonts w:ascii="Arial" w:eastAsia="Arial" w:hAnsi="Arial" w:cs="Arial"/>
          <w:color w:val="000000"/>
        </w:rPr>
        <w:lastRenderedPageBreak/>
        <w:t>Am. Jur. Pleading</w:t>
      </w:r>
      <w:r>
        <w:rPr>
          <w:rFonts w:ascii="Arial" w:eastAsia="Arial" w:hAnsi="Arial" w:cs="Arial"/>
          <w:color w:val="000000"/>
        </w:rPr>
        <w:t xml:space="preserve"> and Practice Forms, Civil Rights §§ 28 to 38</w:t>
      </w:r>
    </w:p>
    <w:p w:rsidR="007A6EB4" w:rsidRDefault="006F3363">
      <w:pPr>
        <w:spacing w:before="120" w:line="300" w:lineRule="atLeast"/>
      </w:pPr>
      <w:r>
        <w:rPr>
          <w:rFonts w:ascii="Arial" w:eastAsia="Arial" w:hAnsi="Arial" w:cs="Arial"/>
          <w:color w:val="000000"/>
        </w:rPr>
        <w:t>Florida Pleading and Practice Forms §§ 32:10 to 32:14</w:t>
      </w:r>
    </w:p>
    <w:p w:rsidR="007A6EB4" w:rsidRDefault="006F3363">
      <w:pPr>
        <w:spacing w:before="120" w:line="300" w:lineRule="atLeast"/>
      </w:pPr>
      <w:r>
        <w:rPr>
          <w:rFonts w:ascii="Arial" w:eastAsia="Arial" w:hAnsi="Arial" w:cs="Arial"/>
          <w:color w:val="000000"/>
        </w:rPr>
        <w:t>West's Key Number Digest, Civil Rights [westkey]1020, 1808</w:t>
      </w:r>
    </w:p>
    <w:p w:rsidR="007A6EB4" w:rsidRDefault="006F3363">
      <w:pPr>
        <w:spacing w:before="120" w:line="300" w:lineRule="atLeast"/>
      </w:pPr>
      <w:r>
        <w:rPr>
          <w:rFonts w:ascii="Arial" w:eastAsia="Arial" w:hAnsi="Arial" w:cs="Arial"/>
          <w:color w:val="000000"/>
        </w:rPr>
        <w:t>What businesses or establishments fall within state civil rights statute provisions prohibiting d</w:t>
      </w:r>
      <w:r>
        <w:rPr>
          <w:rFonts w:ascii="Arial" w:eastAsia="Arial" w:hAnsi="Arial" w:cs="Arial"/>
          <w:color w:val="000000"/>
        </w:rPr>
        <w:t>iscrimination, 87 A.L.R.2d 120</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03" style="position:absolute;z-index:25180979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xml:space="preserve">§ 413.08(1)(b), Fla. Stat., as amended, effective July 1, 2015, defines the term "individual with a disability" to mean a person who has a physical or mental impairment that substantially limits one </w:t>
      </w:r>
      <w:r>
        <w:rPr>
          <w:rFonts w:ascii="Arial" w:eastAsia="Arial" w:hAnsi="Arial" w:cs="Arial"/>
          <w:color w:val="000000"/>
        </w:rPr>
        <w:t>or more major life activities of the individual.</w:t>
      </w:r>
    </w:p>
    <w:p w:rsidR="007A6EB4" w:rsidRDefault="006F3363">
      <w:pPr>
        <w:spacing w:before="200" w:line="300" w:lineRule="atLeast"/>
        <w:jc w:val="both"/>
      </w:pPr>
      <w:r>
        <w:rPr>
          <w:rFonts w:ascii="Arial" w:eastAsia="Arial" w:hAnsi="Arial" w:cs="Arial"/>
          <w:color w:val="000000"/>
        </w:rPr>
        <w:t>§ 413.08(1)(c), Fla. Stat., as amended, effective July 1, 2015, defines the term "public accommodation" to mean a common carrier, airplane, motor vehicle, railroad train, motor bus, streetcar, boat, or other</w:t>
      </w:r>
      <w:r>
        <w:rPr>
          <w:rFonts w:ascii="Arial" w:eastAsia="Arial" w:hAnsi="Arial" w:cs="Arial"/>
          <w:color w:val="000000"/>
        </w:rPr>
        <w:t xml:space="preserve"> public conveyance or mode of transportation; hotel; a timeshare that is a transient public lodging establishment as defined in § 509.013, Fla. Stat.; lodging place; place of public accommodation, amusement, or resort; and other places to which the general</w:t>
      </w:r>
      <w:r>
        <w:rPr>
          <w:rFonts w:ascii="Arial" w:eastAsia="Arial" w:hAnsi="Arial" w:cs="Arial"/>
          <w:color w:val="000000"/>
        </w:rPr>
        <w:t xml:space="preserve"> public is invited, subject only to the conditions and limitations established by law and applicable alike to all persons. Additionally, it provides that the term does not include air carriers covered by the Air Carrier Access Act of 1986, 49 U.S.C.A. § 41</w:t>
      </w:r>
      <w:r>
        <w:rPr>
          <w:rFonts w:ascii="Arial" w:eastAsia="Arial" w:hAnsi="Arial" w:cs="Arial"/>
          <w:color w:val="000000"/>
        </w:rPr>
        <w:t>705, and by regulations adopted by the United States Department of Transportation to implement such Act.</w:t>
      </w:r>
    </w:p>
    <w:p w:rsidR="007A6EB4" w:rsidRDefault="006F3363">
      <w:pPr>
        <w:spacing w:before="200" w:line="300" w:lineRule="atLeast"/>
        <w:jc w:val="both"/>
      </w:pPr>
      <w:r>
        <w:rPr>
          <w:rFonts w:ascii="Arial" w:eastAsia="Arial" w:hAnsi="Arial" w:cs="Arial"/>
          <w:color w:val="000000"/>
        </w:rPr>
        <w:t>§ 413.08(2), Fla. Stat., as amended, effective July 1, 2015, additionally provides that a public accommodation must modify its policies, practices, and</w:t>
      </w:r>
      <w:r>
        <w:rPr>
          <w:rFonts w:ascii="Arial" w:eastAsia="Arial" w:hAnsi="Arial" w:cs="Arial"/>
          <w:color w:val="000000"/>
        </w:rPr>
        <w:t xml:space="preserve"> procedures to permit use of a service animal by an individual with a disability.</w:t>
      </w:r>
    </w:p>
    <w:p w:rsidR="007A6EB4" w:rsidRDefault="006F3363">
      <w:pPr>
        <w:spacing w:before="200" w:line="300" w:lineRule="atLeast"/>
        <w:jc w:val="both"/>
      </w:pPr>
      <w:r>
        <w:rPr>
          <w:rFonts w:ascii="Arial" w:eastAsia="Arial" w:hAnsi="Arial" w:cs="Arial"/>
          <w:color w:val="000000"/>
        </w:rPr>
        <w:t>§ 413.08(4), Fla. Stat., as amended, effective July 1, 2015, provides that any person, firm, or corporation, or the agent of any person, firm, or corporation, who denies or i</w:t>
      </w:r>
      <w:r>
        <w:rPr>
          <w:rFonts w:ascii="Arial" w:eastAsia="Arial" w:hAnsi="Arial" w:cs="Arial"/>
          <w:color w:val="000000"/>
        </w:rPr>
        <w:t>nterferes with admittance to, or enjoyment of, a public accommodation or, with regard to a public accommodation, otherwise interferes with the rights of an individual with a disability or the trainer of a service animal while engaged in the training of suc</w:t>
      </w:r>
      <w:r>
        <w:rPr>
          <w:rFonts w:ascii="Arial" w:eastAsia="Arial" w:hAnsi="Arial" w:cs="Arial"/>
          <w:color w:val="000000"/>
        </w:rPr>
        <w:t>h an animal pursuant to § 413.08(8), Fla. Stat., commits a misdemeanor of the second degree, punishable as provided in §§ 775.082, 775.083, Fla. Stat. and must perform 30 hours of community service for an organization that serves individuals with disabilit</w:t>
      </w:r>
      <w:r>
        <w:rPr>
          <w:rFonts w:ascii="Arial" w:eastAsia="Arial" w:hAnsi="Arial" w:cs="Arial"/>
          <w:color w:val="000000"/>
        </w:rPr>
        <w:t>ies, or for another entity or organization at the discretion of the court, to be completed in not more than six months.</w:t>
      </w:r>
    </w:p>
    <w:p w:rsidR="007A6EB4" w:rsidRDefault="006F3363">
      <w:pPr>
        <w:spacing w:before="200" w:line="300" w:lineRule="atLeast"/>
        <w:jc w:val="both"/>
      </w:pPr>
      <w:r>
        <w:rPr>
          <w:rFonts w:ascii="Arial" w:eastAsia="Arial" w:hAnsi="Arial" w:cs="Arial"/>
          <w:color w:val="000000"/>
        </w:rPr>
        <w:t>§ 413.08(9), Fla. Stat., added, effective July 1, 2015, provides that a person who knowingly and willfully misrepresents herself or hims</w:t>
      </w:r>
      <w:r>
        <w:rPr>
          <w:rFonts w:ascii="Arial" w:eastAsia="Arial" w:hAnsi="Arial" w:cs="Arial"/>
          <w:color w:val="000000"/>
        </w:rPr>
        <w:t>elf, through conduct or verbal or written notice, as using a service animal and being qualified to use a service animal or as a trainer of a service animal commits a misdemeanor of the second degree, punishable as provided in §§ 775.082, 775.083, Fla. Stat</w:t>
      </w:r>
      <w:r>
        <w:rPr>
          <w:rFonts w:ascii="Arial" w:eastAsia="Arial" w:hAnsi="Arial" w:cs="Arial"/>
          <w:color w:val="000000"/>
        </w:rPr>
        <w:t xml:space="preserve">. and must perform 30 hours of community service for an organization that serves </w:t>
      </w:r>
      <w:r>
        <w:rPr>
          <w:rFonts w:ascii="Arial" w:eastAsia="Arial" w:hAnsi="Arial" w:cs="Arial"/>
          <w:color w:val="000000"/>
        </w:rPr>
        <w:lastRenderedPageBreak/>
        <w:t>individuals with disabilities, or for another entity or organization at the discretion of the court, to be completed in not more than six months.</w:t>
      </w:r>
    </w:p>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 xml:space="preserve">Department of Justice (DOJ) regulations implementing service animal provision of Title II of the ADA were entitled to </w:t>
      </w:r>
      <w:r>
        <w:rPr>
          <w:rFonts w:ascii="Arial" w:eastAsia="Arial" w:hAnsi="Arial" w:cs="Arial"/>
          <w:i/>
          <w:color w:val="000000"/>
        </w:rPr>
        <w:t>Chevron</w:t>
      </w:r>
      <w:r>
        <w:rPr>
          <w:rFonts w:ascii="Arial" w:eastAsia="Arial" w:hAnsi="Arial" w:cs="Arial"/>
          <w:color w:val="000000"/>
        </w:rPr>
        <w:t xml:space="preserve"> deference, a permissible interpretation of the ADA, consistent with and a specific application of the reasonable modification regu</w:t>
      </w:r>
      <w:r>
        <w:rPr>
          <w:rFonts w:ascii="Arial" w:eastAsia="Arial" w:hAnsi="Arial" w:cs="Arial"/>
          <w:color w:val="000000"/>
        </w:rPr>
        <w:t xml:space="preserve">latory requirement, and valid and enforceable against Florida school board in assessing its adherence to the ADA. Rehabilitation Act of 1973, § 504, 29 U.S.C.A. § 794; Americans with Disabilities Act of 1990, § 201 et seq., 42 U.S.C.A. § 12131 et seq.; 28 </w:t>
      </w:r>
      <w:r>
        <w:rPr>
          <w:rFonts w:ascii="Arial" w:eastAsia="Arial" w:hAnsi="Arial" w:cs="Arial"/>
          <w:color w:val="000000"/>
        </w:rPr>
        <w:t>C.F.R. §§ 35.104, 35.130(b)(7), 35.136, 35.139. Alboniga v. School Bd. of Broward County Fla., 87 F. Supp. 3d 1319 (S.D. Fla. 2015).</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04" style="position:absolute;left:0;text-align:left;z-index:25185177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91"/>
          <w:headerReference w:type="default" r:id="rId92"/>
          <w:footerReference w:type="even" r:id="rId93"/>
          <w:footerReference w:type="default" r:id="rId94"/>
          <w:headerReference w:type="first" r:id="rId95"/>
          <w:footerReference w:type="first" r:id="rId96"/>
          <w:pgSz w:w="12240" w:h="15840"/>
          <w:pgMar w:top="840" w:right="1000" w:bottom="840" w:left="1000" w:header="400" w:footer="400" w:gutter="0"/>
          <w:cols w:space="720"/>
          <w:titlePg/>
        </w:sectPr>
      </w:pPr>
    </w:p>
    <w:p w:rsidR="007A6EB4" w:rsidRDefault="007A6EB4">
      <w:bookmarkStart w:id="15" w:name="Bookmark_15"/>
      <w:bookmarkEnd w:id="15"/>
    </w:p>
    <w:p w:rsidR="007A6EB4" w:rsidRDefault="006F3363">
      <w:r>
        <w:pict>
          <v:shape id="_x0000_i1039"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14</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 xml:space="preserve">A. Unlawful </w:t>
      </w:r>
      <w:r>
        <w:rPr>
          <w:rFonts w:ascii="Arial" w:eastAsia="Arial" w:hAnsi="Arial" w:cs="Arial"/>
          <w:b/>
          <w:i/>
          <w:color w:val="000000"/>
          <w:sz w:val="22"/>
        </w:rPr>
        <w:t>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06" style="position:absolute;z-index:25167257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14 Generally; proscribed bases of discrimination; federal preemption</w:t>
      </w:r>
    </w:p>
    <w:p w:rsidR="007A6EB4" w:rsidRDefault="006F3363">
      <w:pPr>
        <w:spacing w:line="60" w:lineRule="exact"/>
      </w:pPr>
      <w:r>
        <w:pict>
          <v:line id="_x0000_s1107" style="position:absolute;z-index:25171865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The Florida Civil Rights Act proscribes certain specified unlawful employment practices that are based on an </w:t>
      </w:r>
      <w:r>
        <w:rPr>
          <w:rFonts w:ascii="Arial" w:eastAsia="Arial" w:hAnsi="Arial" w:cs="Arial"/>
          <w:color w:val="000000"/>
        </w:rPr>
        <w:t>individual's race, color, religion, sex, national origin, age, handicap, or marital status.</w:t>
      </w:r>
      <w:r>
        <w:rPr>
          <w:rFonts w:ascii="Arial" w:eastAsia="Arial" w:hAnsi="Arial" w:cs="Arial"/>
          <w:vertAlign w:val="superscript"/>
        </w:rPr>
        <w:footnoteReference w:customMarkFollows="1" w:id="132"/>
        <w:t>n1</w:t>
      </w:r>
    </w:p>
    <w:p w:rsidR="007A6EB4" w:rsidRDefault="006F3363">
      <w:pPr>
        <w:spacing w:before="200" w:line="300" w:lineRule="atLeast"/>
        <w:jc w:val="both"/>
      </w:pPr>
      <w:r>
        <w:rPr>
          <w:rFonts w:ascii="Arial" w:eastAsia="Arial" w:hAnsi="Arial" w:cs="Arial"/>
          <w:color w:val="000000"/>
        </w:rPr>
        <w:t>Observation: The Florida Civil Rights Act is patterned after Title VII,</w:t>
      </w:r>
      <w:r>
        <w:rPr>
          <w:rFonts w:ascii="Arial" w:eastAsia="Arial" w:hAnsi="Arial" w:cs="Arial"/>
          <w:vertAlign w:val="superscript"/>
        </w:rPr>
        <w:footnoteReference w:customMarkFollows="1" w:id="133"/>
        <w:t>n2</w:t>
      </w:r>
      <w:r>
        <w:rPr>
          <w:rFonts w:ascii="Arial" w:eastAsia="Arial" w:hAnsi="Arial" w:cs="Arial"/>
          <w:color w:val="000000"/>
        </w:rPr>
        <w:t xml:space="preserve"> and therefore, it has been said that federal case law regarding Title VII is applicable </w:t>
      </w:r>
      <w:r>
        <w:rPr>
          <w:rFonts w:ascii="Arial" w:eastAsia="Arial" w:hAnsi="Arial" w:cs="Arial"/>
          <w:color w:val="000000"/>
        </w:rPr>
        <w:t>in a case brought under the Florida Civil Rights Act</w:t>
      </w:r>
      <w:r>
        <w:rPr>
          <w:rFonts w:ascii="Arial" w:eastAsia="Arial" w:hAnsi="Arial" w:cs="Arial"/>
          <w:vertAlign w:val="superscript"/>
        </w:rPr>
        <w:footnoteReference w:customMarkFollows="1" w:id="134"/>
        <w:t>n3</w:t>
      </w:r>
      <w:r>
        <w:rPr>
          <w:rFonts w:ascii="Arial" w:eastAsia="Arial" w:hAnsi="Arial" w:cs="Arial"/>
          <w:color w:val="000000"/>
        </w:rPr>
        <w:t xml:space="preserve"> and is persuasive authority for its interpretation.</w:t>
      </w:r>
      <w:r>
        <w:rPr>
          <w:rFonts w:ascii="Arial" w:eastAsia="Arial" w:hAnsi="Arial" w:cs="Arial"/>
          <w:vertAlign w:val="superscript"/>
        </w:rPr>
        <w:footnoteReference w:customMarkFollows="1" w:id="135"/>
        <w:t>n4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08" style="position:absolute;z-index:25176473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1019(5), 1024, 1104, 1107, 1111, 1113 to 1116, 1136 to </w:t>
      </w:r>
      <w:r>
        <w:rPr>
          <w:rFonts w:ascii="Arial" w:eastAsia="Arial" w:hAnsi="Arial" w:cs="Arial"/>
          <w:color w:val="000000"/>
        </w:rPr>
        <w:t>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w:t>
      </w:r>
      <w:r>
        <w:rPr>
          <w:rFonts w:ascii="Arial" w:eastAsia="Arial" w:hAnsi="Arial" w:cs="Arial"/>
          <w:color w:val="000000"/>
        </w:rPr>
        <w:t xml:space="preserve">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lastRenderedPageBreak/>
        <w:t>A.L.R. Index, Age Discrimination</w:t>
      </w:r>
    </w:p>
    <w:p w:rsidR="007A6EB4" w:rsidRDefault="006F3363">
      <w:pPr>
        <w:spacing w:before="120" w:line="300" w:lineRule="atLeast"/>
      </w:pPr>
      <w:r>
        <w:rPr>
          <w:rFonts w:ascii="Arial" w:eastAsia="Arial" w:hAnsi="Arial" w:cs="Arial"/>
          <w:color w:val="000000"/>
        </w:rPr>
        <w:t>A.L.R. Index, Ci</w:t>
      </w:r>
      <w:r>
        <w:rPr>
          <w:rFonts w:ascii="Arial" w:eastAsia="Arial" w:hAnsi="Arial" w:cs="Arial"/>
          <w:color w:val="000000"/>
        </w:rPr>
        <w:t>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w:t>
      </w:r>
      <w:r>
        <w:rPr>
          <w:rFonts w:ascii="Arial" w:eastAsia="Arial" w:hAnsi="Arial" w:cs="Arial"/>
          <w:color w:val="000000"/>
        </w:rPr>
        <w:t>est, Civil Rights [westkey]1009 to 1016, 1019(3), 1019(5), 1024, 1104, 1107, 1111, 1113 to 1116, 1136 to 1138, 1140, 1141, 1164 to 1190, 1196, 1206, 1207, 1216 to 1218, 1225(1) to 1225(3), 1242 to 1245, 1261, 1262, 1536, 1544, 1545, 1553, 1703, 1704, 1710,</w:t>
      </w:r>
      <w:r>
        <w:rPr>
          <w:rFonts w:ascii="Arial" w:eastAsia="Arial" w:hAnsi="Arial" w:cs="Arial"/>
          <w:color w:val="000000"/>
        </w:rPr>
        <w:t xml:space="preserve">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w:t>
      </w:r>
      <w:r>
        <w:rPr>
          <w:rFonts w:ascii="Arial" w:eastAsia="Arial" w:hAnsi="Arial" w:cs="Arial"/>
          <w:color w:val="000000"/>
        </w:rPr>
        <w: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 xml:space="preserve">Employment </w:t>
      </w:r>
      <w:r>
        <w:rPr>
          <w:rFonts w:ascii="Arial" w:eastAsia="Arial" w:hAnsi="Arial" w:cs="Arial"/>
          <w:color w:val="000000"/>
        </w:rPr>
        <w:t>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w:t>
      </w:r>
      <w:r>
        <w:rPr>
          <w:rFonts w:ascii="Arial" w:eastAsia="Arial" w:hAnsi="Arial" w:cs="Arial"/>
          <w:color w:val="000000"/>
        </w:rPr>
        <w:t xml:space="preserve">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w:t>
      </w:r>
      <w:r>
        <w:rPr>
          <w:rFonts w:ascii="Arial" w:eastAsia="Arial" w:hAnsi="Arial" w:cs="Arial"/>
          <w:color w:val="000000"/>
        </w:rPr>
        <w: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lastRenderedPageBreak/>
        <w:t>Employment Discrimination Claims Based on Menta</w:t>
      </w:r>
      <w:r>
        <w:rPr>
          <w:rFonts w:ascii="Arial" w:eastAsia="Arial" w:hAnsi="Arial" w:cs="Arial"/>
          <w:color w:val="000000"/>
        </w:rPr>
        <w:t>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w:t>
      </w:r>
      <w:r>
        <w:rPr>
          <w:rFonts w:ascii="Arial" w:eastAsia="Arial" w:hAnsi="Arial" w:cs="Arial"/>
          <w:color w:val="000000"/>
        </w:rPr>
        <w:t>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w:t>
      </w:r>
      <w:r>
        <w:rPr>
          <w:rFonts w:ascii="Arial" w:eastAsia="Arial" w:hAnsi="Arial" w:cs="Arial"/>
          <w:color w:val="000000"/>
        </w:rPr>
        <w:t>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w:t>
      </w:r>
      <w:r>
        <w:rPr>
          <w:rFonts w:ascii="Arial" w:eastAsia="Arial" w:hAnsi="Arial" w:cs="Arial"/>
          <w:color w:val="000000"/>
        </w:rPr>
        <w:t>y Number Digest, Civil Rights [westkey]1104, 1107, 1182, 1183, 1189, 1703, 1720</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Liability of Employer, Supervisor, or Manager for Intentionally or Recklessly Causing Employee Emotional Distress -- Ethn</w:t>
      </w:r>
      <w:r>
        <w:rPr>
          <w:rFonts w:ascii="Arial" w:eastAsia="Arial" w:hAnsi="Arial" w:cs="Arial"/>
          <w:color w:val="000000"/>
        </w:rPr>
        <w:t>ic, Racial, or Religious Harassment or Discrimination, 19 A.L.R.6th 1</w:t>
      </w:r>
    </w:p>
    <w:p w:rsidR="007A6EB4" w:rsidRDefault="006F3363">
      <w:pPr>
        <w:spacing w:before="120" w:line="300" w:lineRule="atLeast"/>
      </w:pPr>
      <w:r>
        <w:rPr>
          <w:rFonts w:ascii="Arial" w:eastAsia="Arial" w:hAnsi="Arial" w:cs="Arial"/>
          <w:color w:val="000000"/>
        </w:rPr>
        <w:t>What Constitutes Racial Harassment in Employment Violative of State Civil Rights Acts, 17 A.L.R.6th 563</w:t>
      </w:r>
    </w:p>
    <w:p w:rsidR="007A6EB4" w:rsidRDefault="006F3363">
      <w:pPr>
        <w:spacing w:before="120" w:line="300" w:lineRule="atLeast"/>
      </w:pPr>
      <w:r>
        <w:rPr>
          <w:rFonts w:ascii="Arial" w:eastAsia="Arial" w:hAnsi="Arial" w:cs="Arial"/>
          <w:color w:val="000000"/>
        </w:rPr>
        <w:t>Federal and State Constitutional Provisions and State Statutes as Prohibiting Empl</w:t>
      </w:r>
      <w:r>
        <w:rPr>
          <w:rFonts w:ascii="Arial" w:eastAsia="Arial" w:hAnsi="Arial" w:cs="Arial"/>
          <w:color w:val="000000"/>
        </w:rPr>
        <w:t>oyment Discrimination Based on Heterosexual Conduct or Relationship, 123 A.L.R.5th 411</w:t>
      </w:r>
    </w:p>
    <w:p w:rsidR="007A6EB4" w:rsidRDefault="006F3363">
      <w:pPr>
        <w:spacing w:before="120" w:line="300" w:lineRule="atLeast"/>
      </w:pPr>
      <w:r>
        <w:rPr>
          <w:rFonts w:ascii="Arial" w:eastAsia="Arial" w:hAnsi="Arial" w:cs="Arial"/>
          <w:color w:val="000000"/>
        </w:rPr>
        <w:t>Necessity of, and What Constitutes, Employer's Reasonable Accommodation of Employee's Religious Preference Under State Law, 107 A.L.R.5th 623</w:t>
      </w:r>
    </w:p>
    <w:p w:rsidR="007A6EB4" w:rsidRDefault="006F3363">
      <w:pPr>
        <w:spacing w:before="120" w:line="300" w:lineRule="atLeast"/>
      </w:pPr>
      <w:r>
        <w:rPr>
          <w:rFonts w:ascii="Arial" w:eastAsia="Arial" w:hAnsi="Arial" w:cs="Arial"/>
          <w:color w:val="000000"/>
        </w:rPr>
        <w:t>Discrimination Against Pregnant Employee as Violation of State Fair Employment Laws, 99 A.L.R.5th 1</w:t>
      </w:r>
    </w:p>
    <w:p w:rsidR="007A6EB4" w:rsidRDefault="006F3363">
      <w:pPr>
        <w:spacing w:before="120" w:line="300" w:lineRule="atLeast"/>
      </w:pPr>
      <w:r>
        <w:rPr>
          <w:rFonts w:ascii="Arial" w:eastAsia="Arial" w:hAnsi="Arial" w:cs="Arial"/>
          <w:color w:val="000000"/>
        </w:rPr>
        <w:t>When Is Supervisor's or Coemployee's Hostile Environment Sexual Harassment Imputable to Employer Under State Law, 94 A.L.R.5th 1</w:t>
      </w:r>
    </w:p>
    <w:p w:rsidR="007A6EB4" w:rsidRDefault="006F3363">
      <w:pPr>
        <w:spacing w:before="120" w:line="300" w:lineRule="atLeast"/>
      </w:pPr>
      <w:r>
        <w:rPr>
          <w:rFonts w:ascii="Arial" w:eastAsia="Arial" w:hAnsi="Arial" w:cs="Arial"/>
          <w:color w:val="000000"/>
        </w:rPr>
        <w:t>When is Work Environment In</w:t>
      </w:r>
      <w:r>
        <w:rPr>
          <w:rFonts w:ascii="Arial" w:eastAsia="Arial" w:hAnsi="Arial" w:cs="Arial"/>
          <w:color w:val="000000"/>
        </w:rPr>
        <w:t>timidating, Hostile or Offensive, so as to Constitute Sexual Harassment Under State Law, 93 A.L.R.5th 47</w:t>
      </w:r>
    </w:p>
    <w:p w:rsidR="007A6EB4" w:rsidRDefault="006F3363">
      <w:pPr>
        <w:spacing w:before="120" w:line="300" w:lineRule="atLeast"/>
      </w:pPr>
      <w:r>
        <w:rPr>
          <w:rFonts w:ascii="Arial" w:eastAsia="Arial" w:hAnsi="Arial" w:cs="Arial"/>
          <w:color w:val="000000"/>
        </w:rPr>
        <w:t>Individual Liability of Supervisors, Managers, Officers or Co-employees for Discriminatory Actions Under State Civil Rights Act, 83 A.L.R.5th 1</w:t>
      </w:r>
    </w:p>
    <w:p w:rsidR="007A6EB4" w:rsidRDefault="006F3363">
      <w:pPr>
        <w:spacing w:before="120" w:line="300" w:lineRule="atLeast"/>
      </w:pPr>
      <w:r>
        <w:rPr>
          <w:rFonts w:ascii="Arial" w:eastAsia="Arial" w:hAnsi="Arial" w:cs="Arial"/>
          <w:color w:val="000000"/>
        </w:rPr>
        <w:t>Judicia</w:t>
      </w:r>
      <w:r>
        <w:rPr>
          <w:rFonts w:ascii="Arial" w:eastAsia="Arial" w:hAnsi="Arial" w:cs="Arial"/>
          <w:color w:val="000000"/>
        </w:rPr>
        <w:t>l construction and application of state legislation prohibiting religious discrimination in employment, 37 A.L.R.5th 349</w:t>
      </w:r>
    </w:p>
    <w:p w:rsidR="007A6EB4" w:rsidRDefault="006F3363">
      <w:pPr>
        <w:spacing w:before="120" w:line="300" w:lineRule="atLeast"/>
      </w:pPr>
      <w:r>
        <w:rPr>
          <w:rFonts w:ascii="Arial" w:eastAsia="Arial" w:hAnsi="Arial" w:cs="Arial"/>
          <w:color w:val="000000"/>
        </w:rPr>
        <w:t>Application of state law to sex discrimination in employment, 87 A.L.R.3d 93</w:t>
      </w:r>
    </w:p>
    <w:p w:rsidR="007A6EB4" w:rsidRDefault="006F3363">
      <w:pPr>
        <w:spacing w:before="120" w:line="300" w:lineRule="atLeast"/>
      </w:pPr>
      <w:r>
        <w:rPr>
          <w:rFonts w:ascii="Arial" w:eastAsia="Arial" w:hAnsi="Arial" w:cs="Arial"/>
          <w:color w:val="000000"/>
        </w:rPr>
        <w:t xml:space="preserve">Sex Discrimination Based Upon Sexual Stereotyping, 53 Am. </w:t>
      </w:r>
      <w:r>
        <w:rPr>
          <w:rFonts w:ascii="Arial" w:eastAsia="Arial" w:hAnsi="Arial" w:cs="Arial"/>
          <w:color w:val="000000"/>
        </w:rPr>
        <w:t>Jur. Trials 299</w:t>
      </w:r>
    </w:p>
    <w:p w:rsidR="007A6EB4" w:rsidRDefault="006F3363">
      <w:pPr>
        <w:spacing w:before="120" w:line="300" w:lineRule="atLeast"/>
      </w:pPr>
      <w:r>
        <w:rPr>
          <w:rFonts w:ascii="Arial" w:eastAsia="Arial" w:hAnsi="Arial" w:cs="Arial"/>
          <w:color w:val="000000"/>
        </w:rPr>
        <w:t>Bases of liability: Theories of recovery based on classification of participants. Sexual Harassment on the Job, 33 Am. Jur. Trials 257 §§ 6 to 15.7</w:t>
      </w:r>
    </w:p>
    <w:p w:rsidR="007A6EB4" w:rsidRDefault="006F3363">
      <w:pPr>
        <w:spacing w:before="120" w:line="300" w:lineRule="atLeast"/>
      </w:pPr>
      <w:r>
        <w:rPr>
          <w:rFonts w:ascii="Arial" w:eastAsia="Arial" w:hAnsi="Arial" w:cs="Arial"/>
          <w:color w:val="000000"/>
        </w:rPr>
        <w:lastRenderedPageBreak/>
        <w:t>Am. Jur. Pleading and Practice Forms, Civil Rights §§ 77 to 137.50 (Discrimination in employ</w:t>
      </w:r>
      <w:r>
        <w:rPr>
          <w:rFonts w:ascii="Arial" w:eastAsia="Arial" w:hAnsi="Arial" w:cs="Arial"/>
          <w:color w:val="000000"/>
        </w:rPr>
        <w:t>ment -- Based on race, sex, age, religion, and physical handicap)</w:t>
      </w:r>
    </w:p>
    <w:p w:rsidR="007A6EB4" w:rsidRDefault="006F3363">
      <w:pPr>
        <w:spacing w:before="120" w:line="300" w:lineRule="atLeast"/>
      </w:pPr>
      <w:r>
        <w:rPr>
          <w:rFonts w:ascii="Arial" w:eastAsia="Arial" w:hAnsi="Arial" w:cs="Arial"/>
          <w:color w:val="000000"/>
        </w:rPr>
        <w:t>Am. Jur. Pleading and Practice Forms, Constitutional Law § 7 (Complaint in federal court -- Age discrimination in employment as violative of federal law)</w:t>
      </w:r>
    </w:p>
    <w:p w:rsidR="007A6EB4" w:rsidRDefault="006F3363">
      <w:pPr>
        <w:spacing w:before="120" w:line="300" w:lineRule="atLeast"/>
      </w:pPr>
      <w:r>
        <w:rPr>
          <w:rFonts w:ascii="Arial" w:eastAsia="Arial" w:hAnsi="Arial" w:cs="Arial"/>
          <w:color w:val="000000"/>
        </w:rPr>
        <w:t>Am. Jur. Pleading and Practice Forms</w:t>
      </w:r>
      <w:r>
        <w:rPr>
          <w:rFonts w:ascii="Arial" w:eastAsia="Arial" w:hAnsi="Arial" w:cs="Arial"/>
          <w:color w:val="000000"/>
        </w:rPr>
        <w:t>, Labor and Labor Relations §§ 266 to 284 (Title VII complaints, allegations, and defenses based on equal employment opportunity)</w:t>
      </w:r>
    </w:p>
    <w:p w:rsidR="007A6EB4" w:rsidRDefault="006F3363">
      <w:pPr>
        <w:spacing w:before="120" w:line="300" w:lineRule="atLeast"/>
      </w:pPr>
      <w:r>
        <w:rPr>
          <w:rFonts w:ascii="Arial" w:eastAsia="Arial" w:hAnsi="Arial" w:cs="Arial"/>
          <w:color w:val="000000"/>
        </w:rPr>
        <w:t>Florida Pleading and Practice Forms § 85:40 (Complaint -- By employee -- For discrimination in wages on basis of sex)</w:t>
      </w:r>
    </w:p>
    <w:p w:rsidR="007A6EB4" w:rsidRDefault="006F3363">
      <w:pPr>
        <w:keepNext/>
        <w:spacing w:before="240" w:line="340" w:lineRule="atLeast"/>
      </w:pPr>
      <w:r>
        <w:br/>
      </w:r>
      <w:r>
        <w:rPr>
          <w:rFonts w:ascii="Arial" w:eastAsia="Arial" w:hAnsi="Arial" w:cs="Arial"/>
          <w:b/>
          <w:color w:val="000000"/>
          <w:sz w:val="28"/>
        </w:rPr>
        <w:t>Supplem</w:t>
      </w:r>
      <w:r>
        <w:rPr>
          <w:rFonts w:ascii="Arial" w:eastAsia="Arial" w:hAnsi="Arial" w:cs="Arial"/>
          <w:b/>
          <w:color w:val="000000"/>
          <w:sz w:val="28"/>
        </w:rPr>
        <w:t>ent</w:t>
      </w:r>
    </w:p>
    <w:p w:rsidR="007A6EB4" w:rsidRDefault="006F3363">
      <w:pPr>
        <w:spacing w:line="60" w:lineRule="exact"/>
      </w:pPr>
      <w:r>
        <w:pict>
          <v:line id="_x0000_s1109" style="position:absolute;z-index:25181081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Employee's claim against employer for handicap discrimination under the Florida Civil Rights Act (FCRA) was not preempted by her ERISA claims, given that employee's complaint did not proceed under the theory that employer was motivated by a de</w:t>
      </w:r>
      <w:r>
        <w:rPr>
          <w:rFonts w:ascii="Arial" w:eastAsia="Arial" w:hAnsi="Arial" w:cs="Arial"/>
          <w:color w:val="000000"/>
        </w:rPr>
        <w:t>sire to avoid paying benefits, rather, she asserted that employer discriminated against her because of her disability and retaliated when she used the benefits to treat her condition. Employee Retirement Income Security Act of 1974, § 514(a), 29 U.S.C.A. §</w:t>
      </w:r>
      <w:r>
        <w:rPr>
          <w:rFonts w:ascii="Arial" w:eastAsia="Arial" w:hAnsi="Arial" w:cs="Arial"/>
          <w:color w:val="000000"/>
        </w:rPr>
        <w:t xml:space="preserve"> 1144(a); West's F.S.A. § 760.01 et seq. Olson v. Dex Imaging, Inc., 63 F. Supp. 3d 1353 (M.D. Fla. 2014).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10" style="position:absolute;left:0;text-align:left;z-index:25185280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97"/>
          <w:headerReference w:type="default" r:id="rId98"/>
          <w:footerReference w:type="even" r:id="rId99"/>
          <w:footerReference w:type="default" r:id="rId100"/>
          <w:headerReference w:type="first" r:id="rId101"/>
          <w:footerReference w:type="first" r:id="rId102"/>
          <w:pgSz w:w="12240" w:h="15840"/>
          <w:pgMar w:top="840" w:right="1000" w:bottom="840" w:left="1000" w:header="400" w:footer="400" w:gutter="0"/>
          <w:cols w:space="720"/>
          <w:titlePg/>
        </w:sectPr>
      </w:pPr>
    </w:p>
    <w:p w:rsidR="007A6EB4" w:rsidRDefault="007A6EB4">
      <w:bookmarkStart w:id="16" w:name="Bookmark_16"/>
      <w:bookmarkEnd w:id="16"/>
    </w:p>
    <w:p w:rsidR="007A6EB4" w:rsidRDefault="006F3363">
      <w:r>
        <w:pict>
          <v:shape id="_x0000_i1040"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15</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12" style="position:absolute;z-index:25167360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15 Discrimination by employer, generally</w:t>
      </w:r>
    </w:p>
    <w:p w:rsidR="007A6EB4" w:rsidRDefault="006F3363">
      <w:pPr>
        <w:spacing w:line="60" w:lineRule="exact"/>
      </w:pPr>
      <w:r>
        <w:pict>
          <v:line id="_x0000_s1113" style="position:absolute;z-index:25171968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It is an unlawful employment practice for an employer:</w:t>
      </w:r>
    </w:p>
    <w:p w:rsidR="007A6EB4" w:rsidRDefault="006F3363">
      <w:pPr>
        <w:spacing w:before="200" w:line="300" w:lineRule="atLeast"/>
        <w:jc w:val="both"/>
      </w:pPr>
      <w:r>
        <w:rPr>
          <w:rFonts w:ascii="Arial" w:eastAsia="Arial" w:hAnsi="Arial" w:cs="Arial"/>
          <w:color w:val="000000"/>
        </w:rPr>
        <w:t xml:space="preserve">(1)to discharge or to fail or refuse to hire any individual, or otherwise to discriminate against any individual with </w:t>
      </w:r>
      <w:r>
        <w:rPr>
          <w:rFonts w:ascii="Arial" w:eastAsia="Arial" w:hAnsi="Arial" w:cs="Arial"/>
          <w:color w:val="000000"/>
        </w:rPr>
        <w:t>respect to compensation, terms, conditions, or privileges of employment, because of the individual's race, color, religion, sex, national origin, age, handicap, or marital status;</w:t>
      </w:r>
      <w:r>
        <w:rPr>
          <w:rFonts w:ascii="Arial" w:eastAsia="Arial" w:hAnsi="Arial" w:cs="Arial"/>
          <w:vertAlign w:val="superscript"/>
        </w:rPr>
        <w:footnoteReference w:customMarkFollows="1" w:id="136"/>
        <w:t>n1</w:t>
      </w:r>
      <w:r>
        <w:rPr>
          <w:rFonts w:ascii="Arial" w:eastAsia="Arial" w:hAnsi="Arial" w:cs="Arial"/>
          <w:color w:val="000000"/>
        </w:rPr>
        <w:t xml:space="preserve"> or</w:t>
      </w:r>
    </w:p>
    <w:p w:rsidR="007A6EB4" w:rsidRDefault="006F3363">
      <w:pPr>
        <w:spacing w:before="200" w:line="300" w:lineRule="atLeast"/>
        <w:jc w:val="both"/>
      </w:pPr>
      <w:r>
        <w:rPr>
          <w:rFonts w:ascii="Arial" w:eastAsia="Arial" w:hAnsi="Arial" w:cs="Arial"/>
          <w:color w:val="000000"/>
        </w:rPr>
        <w:t>(2)to limit, segregate, or classify employees or applicants for employm</w:t>
      </w:r>
      <w:r>
        <w:rPr>
          <w:rFonts w:ascii="Arial" w:eastAsia="Arial" w:hAnsi="Arial" w:cs="Arial"/>
          <w:color w:val="000000"/>
        </w:rPr>
        <w:t>ent in any way that would deprive or tend to deprive any individual of employment opportunities, or adversely affect any individual's status as an employee, because of such individual's race, color, religion, sex, national origin, age, handicap, or marital</w:t>
      </w:r>
      <w:r>
        <w:rPr>
          <w:rFonts w:ascii="Arial" w:eastAsia="Arial" w:hAnsi="Arial" w:cs="Arial"/>
          <w:color w:val="000000"/>
        </w:rPr>
        <w:t xml:space="preserve"> status.</w:t>
      </w:r>
      <w:r>
        <w:rPr>
          <w:rFonts w:ascii="Arial" w:eastAsia="Arial" w:hAnsi="Arial" w:cs="Arial"/>
          <w:vertAlign w:val="superscript"/>
        </w:rPr>
        <w:footnoteReference w:customMarkFollows="1" w:id="137"/>
        <w:t>n2</w:t>
      </w:r>
    </w:p>
    <w:p w:rsidR="007A6EB4" w:rsidRDefault="006F3363">
      <w:pPr>
        <w:spacing w:before="200" w:line="300" w:lineRule="atLeast"/>
        <w:jc w:val="both"/>
      </w:pPr>
      <w:r>
        <w:rPr>
          <w:rFonts w:ascii="Arial" w:eastAsia="Arial" w:hAnsi="Arial" w:cs="Arial"/>
          <w:color w:val="000000"/>
        </w:rPr>
        <w:t>Definitions: Under the Florida Civil Rights Act, an "employer" is any person employing 15 or more employees for each working day in each of 20 or more calendar weeks in the current or preceding calendar year and any agent of such a person.</w:t>
      </w:r>
      <w:r>
        <w:rPr>
          <w:rFonts w:ascii="Arial" w:eastAsia="Arial" w:hAnsi="Arial" w:cs="Arial"/>
          <w:vertAlign w:val="superscript"/>
        </w:rPr>
        <w:footnoteReference w:customMarkFollows="1" w:id="138"/>
        <w:t>n3</w:t>
      </w:r>
      <w:r>
        <w:rPr>
          <w:rFonts w:ascii="Arial" w:eastAsia="Arial" w:hAnsi="Arial" w:cs="Arial"/>
          <w:color w:val="000000"/>
        </w:rPr>
        <w:t xml:space="preserve"> "Pe</w:t>
      </w:r>
      <w:r>
        <w:rPr>
          <w:rFonts w:ascii="Arial" w:eastAsia="Arial" w:hAnsi="Arial" w:cs="Arial"/>
          <w:color w:val="000000"/>
        </w:rPr>
        <w:t>rson" includes an individual, association, corporation, joint apprenticeship committee, joint-stock company, labor union, legal representative, mutual company, partnership, receiver, trust, trustee in bankruptcy, or unincorporated organization; any other l</w:t>
      </w:r>
      <w:r>
        <w:rPr>
          <w:rFonts w:ascii="Arial" w:eastAsia="Arial" w:hAnsi="Arial" w:cs="Arial"/>
          <w:color w:val="000000"/>
        </w:rPr>
        <w:t>egal or commercial entity; the State; or any governmental entity or agency.</w:t>
      </w:r>
      <w:r>
        <w:rPr>
          <w:rFonts w:ascii="Arial" w:eastAsia="Arial" w:hAnsi="Arial" w:cs="Arial"/>
          <w:vertAlign w:val="superscript"/>
        </w:rPr>
        <w:footnoteReference w:customMarkFollows="1" w:id="139"/>
        <w:t>n4</w:t>
      </w:r>
      <w:r>
        <w:rPr>
          <w:rFonts w:ascii="Arial" w:eastAsia="Arial" w:hAnsi="Arial" w:cs="Arial"/>
          <w:color w:val="000000"/>
        </w:rPr>
        <w:t xml:space="preserve"> Local regulations may define the term "employer" more broadly such that a county ordinance may properly define "employer" as one having five or more employees.</w:t>
      </w:r>
      <w:r>
        <w:rPr>
          <w:rFonts w:ascii="Arial" w:eastAsia="Arial" w:hAnsi="Arial" w:cs="Arial"/>
          <w:vertAlign w:val="superscript"/>
        </w:rPr>
        <w:footnoteReference w:customMarkFollows="1" w:id="140"/>
        <w:t>n5</w:t>
      </w:r>
    </w:p>
    <w:p w:rsidR="007A6EB4" w:rsidRDefault="006F3363">
      <w:pPr>
        <w:spacing w:before="200" w:line="300" w:lineRule="atLeast"/>
        <w:jc w:val="both"/>
      </w:pPr>
      <w:r>
        <w:rPr>
          <w:rFonts w:ascii="Arial" w:eastAsia="Arial" w:hAnsi="Arial" w:cs="Arial"/>
          <w:color w:val="000000"/>
        </w:rPr>
        <w:lastRenderedPageBreak/>
        <w:t xml:space="preserve">The 15-employee </w:t>
      </w:r>
      <w:r>
        <w:rPr>
          <w:rFonts w:ascii="Arial" w:eastAsia="Arial" w:hAnsi="Arial" w:cs="Arial"/>
          <w:color w:val="000000"/>
        </w:rPr>
        <w:t>minimum is jurisdictional,</w:t>
      </w:r>
      <w:r>
        <w:rPr>
          <w:rFonts w:ascii="Arial" w:eastAsia="Arial" w:hAnsi="Arial" w:cs="Arial"/>
          <w:vertAlign w:val="superscript"/>
        </w:rPr>
        <w:footnoteReference w:customMarkFollows="1" w:id="141"/>
        <w:t>n6</w:t>
      </w:r>
      <w:r>
        <w:rPr>
          <w:rFonts w:ascii="Arial" w:eastAsia="Arial" w:hAnsi="Arial" w:cs="Arial"/>
          <w:color w:val="000000"/>
        </w:rPr>
        <w:t xml:space="preserve"> and an employer that does not have 15 or more full- and part-time employees during the pertinent time period is not subject to the Act.</w:t>
      </w:r>
      <w:r>
        <w:rPr>
          <w:rFonts w:ascii="Arial" w:eastAsia="Arial" w:hAnsi="Arial" w:cs="Arial"/>
          <w:vertAlign w:val="superscript"/>
        </w:rPr>
        <w:footnoteReference w:customMarkFollows="1" w:id="142"/>
        <w:t>n7</w:t>
      </w:r>
      <w:r>
        <w:rPr>
          <w:rFonts w:ascii="Arial" w:eastAsia="Arial" w:hAnsi="Arial" w:cs="Arial"/>
          <w:color w:val="000000"/>
        </w:rPr>
        <w:t xml:space="preserve"> Thus, the Act does not impose liability on individual employees/supervisors or individual</w:t>
      </w:r>
      <w:r>
        <w:rPr>
          <w:rFonts w:ascii="Arial" w:eastAsia="Arial" w:hAnsi="Arial" w:cs="Arial"/>
          <w:color w:val="000000"/>
        </w:rPr>
        <w:t>s who are the sole owners of corporations for acts of discrimination.</w:t>
      </w:r>
      <w:r>
        <w:rPr>
          <w:rFonts w:ascii="Arial" w:eastAsia="Arial" w:hAnsi="Arial" w:cs="Arial"/>
          <w:vertAlign w:val="superscript"/>
        </w:rPr>
        <w:footnoteReference w:customMarkFollows="1" w:id="143"/>
        <w:t>n8</w:t>
      </w:r>
      <w:r>
        <w:rPr>
          <w:rFonts w:ascii="Arial" w:eastAsia="Arial" w:hAnsi="Arial" w:cs="Arial"/>
          <w:color w:val="000000"/>
        </w:rPr>
        <w:t xml:space="preserve"> In addition, the Act does not impose a geographical limitation on where employees work, however, and foreign citizens based abroad who work exclusively outside the United States cannot</w:t>
      </w:r>
      <w:r>
        <w:rPr>
          <w:rFonts w:ascii="Arial" w:eastAsia="Arial" w:hAnsi="Arial" w:cs="Arial"/>
          <w:color w:val="000000"/>
        </w:rPr>
        <w:t xml:space="preserve"> be excluded from the 15-employee jurisdictional count.</w:t>
      </w:r>
      <w:r>
        <w:rPr>
          <w:rFonts w:ascii="Arial" w:eastAsia="Arial" w:hAnsi="Arial" w:cs="Arial"/>
          <w:vertAlign w:val="superscript"/>
        </w:rPr>
        <w:footnoteReference w:customMarkFollows="1" w:id="144"/>
        <w:t>n9</w:t>
      </w:r>
    </w:p>
    <w:p w:rsidR="007A6EB4" w:rsidRDefault="006F3363">
      <w:pPr>
        <w:spacing w:before="200" w:line="300" w:lineRule="atLeast"/>
        <w:jc w:val="both"/>
      </w:pPr>
      <w:r>
        <w:rPr>
          <w:rFonts w:ascii="Arial" w:eastAsia="Arial" w:hAnsi="Arial" w:cs="Arial"/>
          <w:color w:val="000000"/>
        </w:rPr>
        <w:t>Observation: HIV-positive status may be a "handicap" within the meaning of the Florida Civil Rights Act.</w:t>
      </w:r>
      <w:r>
        <w:rPr>
          <w:rFonts w:ascii="Arial" w:eastAsia="Arial" w:hAnsi="Arial" w:cs="Arial"/>
          <w:vertAlign w:val="superscript"/>
        </w:rPr>
        <w:footnoteReference w:customMarkFollows="1" w:id="145"/>
        <w:t>n10</w:t>
      </w:r>
      <w:r>
        <w:rPr>
          <w:rFonts w:ascii="Arial" w:eastAsia="Arial" w:hAnsi="Arial" w:cs="Arial"/>
          <w:color w:val="000000"/>
        </w:rPr>
        <w:t xml:space="preserve"> Whether an HIV-infected individual is handicapped under the Florida Civil Rights Act turns</w:t>
      </w:r>
      <w:r>
        <w:rPr>
          <w:rFonts w:ascii="Arial" w:eastAsia="Arial" w:hAnsi="Arial" w:cs="Arial"/>
          <w:color w:val="000000"/>
        </w:rPr>
        <w:t xml:space="preserve"> on the facts of each case.</w:t>
      </w:r>
      <w:r>
        <w:rPr>
          <w:rFonts w:ascii="Arial" w:eastAsia="Arial" w:hAnsi="Arial" w:cs="Arial"/>
          <w:vertAlign w:val="superscript"/>
        </w:rPr>
        <w:footnoteReference w:customMarkFollows="1" w:id="146"/>
        <w:t>n11</w:t>
      </w:r>
    </w:p>
    <w:p w:rsidR="007A6EB4" w:rsidRDefault="006F3363">
      <w:pPr>
        <w:spacing w:before="200" w:line="300" w:lineRule="atLeast"/>
        <w:jc w:val="both"/>
      </w:pPr>
      <w:r>
        <w:rPr>
          <w:rFonts w:ascii="Arial" w:eastAsia="Arial" w:hAnsi="Arial" w:cs="Arial"/>
          <w:color w:val="000000"/>
        </w:rPr>
        <w:t>Illustration: An employee's HIV infection constituted a handicap under the Florida Civil Rights Act where HIV substantially limited the employee in the major life activities of breathing and working; where the employee was si</w:t>
      </w:r>
      <w:r>
        <w:rPr>
          <w:rFonts w:ascii="Arial" w:eastAsia="Arial" w:hAnsi="Arial" w:cs="Arial"/>
          <w:color w:val="000000"/>
        </w:rPr>
        <w:t>ck "every other day" with vomiting, diarrhea, stomach pains, and shortness of breath; and where the employee requested accommodations related to her HIV status by asking that her shift change from nights to days.</w:t>
      </w:r>
      <w:r>
        <w:rPr>
          <w:rFonts w:ascii="Arial" w:eastAsia="Arial" w:hAnsi="Arial" w:cs="Arial"/>
          <w:vertAlign w:val="superscript"/>
        </w:rPr>
        <w:footnoteReference w:customMarkFollows="1" w:id="147"/>
        <w:t>n12</w:t>
      </w:r>
    </w:p>
    <w:p w:rsidR="007A6EB4" w:rsidRDefault="006F3363">
      <w:pPr>
        <w:spacing w:before="200" w:line="300" w:lineRule="atLeast"/>
        <w:jc w:val="both"/>
      </w:pPr>
      <w:r>
        <w:rPr>
          <w:rFonts w:ascii="Arial" w:eastAsia="Arial" w:hAnsi="Arial" w:cs="Arial"/>
          <w:color w:val="000000"/>
        </w:rPr>
        <w:t>Observation: An employer's policy that o</w:t>
      </w:r>
      <w:r>
        <w:rPr>
          <w:rFonts w:ascii="Arial" w:eastAsia="Arial" w:hAnsi="Arial" w:cs="Arial"/>
          <w:color w:val="000000"/>
        </w:rPr>
        <w:t>ccasionally causes an employee to take an unpaid day to observe religious holidays is not an unreasonable accommodation of the employee's religious beliefs and practices where the employee is never required to work on a religious holiday.</w:t>
      </w:r>
      <w:r>
        <w:rPr>
          <w:rFonts w:ascii="Arial" w:eastAsia="Arial" w:hAnsi="Arial" w:cs="Arial"/>
          <w:vertAlign w:val="superscript"/>
        </w:rPr>
        <w:footnoteReference w:customMarkFollows="1" w:id="148"/>
        <w:t>n13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14" style="position:absolute;z-index:25176576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 1206, 1207, 1216 to 1218, 1225(1) to 1225(3), 1242 to 1245, 1261, 1262, 1536, 1544, 1545, 15</w:t>
      </w:r>
      <w:r>
        <w:rPr>
          <w:rFonts w:ascii="Arial" w:eastAsia="Arial" w:hAnsi="Arial" w:cs="Arial"/>
          <w:color w:val="000000"/>
        </w:rPr>
        <w:t>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w:t>
      </w:r>
      <w:r>
        <w:rPr>
          <w:rFonts w:ascii="Arial" w:eastAsia="Arial" w:hAnsi="Arial" w:cs="Arial"/>
          <w:color w:val="000000"/>
        </w:rPr>
        <w:t>y]8, 9, 11, 19, 49, 61, 69.2</w:t>
      </w:r>
    </w:p>
    <w:p w:rsidR="007A6EB4" w:rsidRDefault="006F3363">
      <w:pPr>
        <w:spacing w:before="120" w:line="300" w:lineRule="atLeast"/>
      </w:pPr>
      <w:r>
        <w:rPr>
          <w:rFonts w:ascii="Arial" w:eastAsia="Arial" w:hAnsi="Arial" w:cs="Arial"/>
          <w:color w:val="000000"/>
        </w:rPr>
        <w:lastRenderedPageBreak/>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 xml:space="preserve">A.L.R. </w:t>
      </w:r>
      <w:r>
        <w:rPr>
          <w:rFonts w:ascii="Arial" w:eastAsia="Arial" w:hAnsi="Arial" w:cs="Arial"/>
          <w:color w:val="000000"/>
        </w:rPr>
        <w:t>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1024, 1104, 1107, 1111, 1113 to 1116, 1136 to 1138, 1140, 1141, </w:t>
      </w:r>
      <w:r>
        <w:rPr>
          <w:rFonts w:ascii="Arial" w:eastAsia="Arial" w:hAnsi="Arial" w:cs="Arial"/>
          <w:color w:val="000000"/>
        </w:rPr>
        <w:t>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 xml:space="preserve">West's A.L.R. Digest, Labor </w:t>
      </w:r>
      <w:r>
        <w:rPr>
          <w:rFonts w:ascii="Arial" w:eastAsia="Arial" w:hAnsi="Arial" w:cs="Arial"/>
          <w:color w:val="000000"/>
        </w:rPr>
        <w:t>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w:t>
      </w:r>
      <w:r>
        <w:rPr>
          <w:rFonts w:ascii="Arial" w:eastAsia="Arial" w:hAnsi="Arial" w:cs="Arial"/>
          <w:color w:val="000000"/>
        </w:rPr>
        <w:t>.S.,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 xml:space="preserve">Litigating An Employment Discrimination Class Action, 97 Am. Jur. Proof of </w:t>
      </w:r>
      <w:r>
        <w:rPr>
          <w:rFonts w:ascii="Arial" w:eastAsia="Arial" w:hAnsi="Arial" w:cs="Arial"/>
          <w:color w:val="000000"/>
        </w:rPr>
        <w:t>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w:t>
      </w:r>
      <w:r>
        <w:rPr>
          <w:rFonts w:ascii="Arial" w:eastAsia="Arial" w:hAnsi="Arial" w:cs="Arial"/>
          <w:color w:val="000000"/>
        </w:rPr>
        <w:t>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w:t>
      </w:r>
      <w:r>
        <w:rPr>
          <w:rFonts w:ascii="Arial" w:eastAsia="Arial" w:hAnsi="Arial" w:cs="Arial"/>
          <w:color w:val="000000"/>
        </w:rPr>
        <w:t xml:space="preserve">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w:t>
      </w:r>
      <w:r>
        <w:rPr>
          <w:rFonts w:ascii="Arial" w:eastAsia="Arial" w:hAnsi="Arial" w:cs="Arial"/>
          <w:color w:val="000000"/>
        </w:rPr>
        <w:t>ysphoria (Transsexualism), 25 Am. Jur. Proof of Facts 3d 415</w:t>
      </w:r>
    </w:p>
    <w:p w:rsidR="007A6EB4" w:rsidRDefault="006F3363">
      <w:pPr>
        <w:spacing w:before="120" w:line="300" w:lineRule="atLeast"/>
      </w:pPr>
      <w:r>
        <w:rPr>
          <w:rFonts w:ascii="Arial" w:eastAsia="Arial" w:hAnsi="Arial" w:cs="Arial"/>
          <w:color w:val="000000"/>
        </w:rPr>
        <w:lastRenderedPageBreak/>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w:t>
      </w:r>
      <w:r>
        <w:rPr>
          <w:rFonts w:ascii="Arial" w:eastAsia="Arial" w:hAnsi="Arial" w:cs="Arial"/>
          <w:color w:val="000000"/>
        </w:rPr>
        <w:t xml:space="preserve">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w:t>
      </w:r>
      <w:r>
        <w:rPr>
          <w:rFonts w:ascii="Arial" w:eastAsia="Arial" w:hAnsi="Arial" w:cs="Arial"/>
          <w:color w:val="000000"/>
        </w:rPr>
        <w:t>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w:t>
      </w:r>
      <w:r>
        <w:rPr>
          <w:rFonts w:ascii="Arial" w:eastAsia="Arial" w:hAnsi="Arial" w:cs="Arial"/>
          <w:color w:val="000000"/>
        </w:rPr>
        <w:t>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1111, 1113, 1115, 1116</w:t>
      </w:r>
    </w:p>
    <w:p w:rsidR="007A6EB4" w:rsidRDefault="006F3363">
      <w:pPr>
        <w:spacing w:before="120" w:line="300" w:lineRule="atLeast"/>
      </w:pPr>
      <w:r>
        <w:rPr>
          <w:rFonts w:ascii="Arial" w:eastAsia="Arial" w:hAnsi="Arial" w:cs="Arial"/>
          <w:color w:val="000000"/>
        </w:rPr>
        <w:t xml:space="preserve">Liability of Employer, Supervisor, or Manager for Intentionally or </w:t>
      </w:r>
      <w:r>
        <w:rPr>
          <w:rFonts w:ascii="Arial" w:eastAsia="Arial" w:hAnsi="Arial" w:cs="Arial"/>
          <w:color w:val="000000"/>
        </w:rPr>
        <w:t>Recklessly Causing Employee Emotional Distress -- Sexual Harassment, Sexual Discrimination, or Accusations Concerning Sexual Conduct or Orientation, 20 A.L.R.6th 1</w:t>
      </w:r>
    </w:p>
    <w:p w:rsidR="007A6EB4" w:rsidRDefault="006F3363">
      <w:pPr>
        <w:spacing w:before="120" w:line="300" w:lineRule="atLeast"/>
      </w:pPr>
      <w:r>
        <w:rPr>
          <w:rFonts w:ascii="Arial" w:eastAsia="Arial" w:hAnsi="Arial" w:cs="Arial"/>
          <w:color w:val="000000"/>
        </w:rPr>
        <w:t>Liability of Employer, Supervisor, or Manager for Intentionally or Recklessly Causing Employ</w:t>
      </w:r>
      <w:r>
        <w:rPr>
          <w:rFonts w:ascii="Arial" w:eastAsia="Arial" w:hAnsi="Arial" w:cs="Arial"/>
          <w:color w:val="000000"/>
        </w:rPr>
        <w:t>ee Emotional Distress -- Ethnic, Racial, or Religious Harassment or Discrimination, 19 A.L.R.6th 1</w:t>
      </w:r>
    </w:p>
    <w:p w:rsidR="007A6EB4" w:rsidRDefault="006F3363">
      <w:pPr>
        <w:spacing w:before="120" w:line="300" w:lineRule="atLeast"/>
      </w:pPr>
      <w:r>
        <w:rPr>
          <w:rFonts w:ascii="Arial" w:eastAsia="Arial" w:hAnsi="Arial" w:cs="Arial"/>
          <w:color w:val="000000"/>
        </w:rPr>
        <w:t>Federal and State Constitutional Provisions and State Statutes as Prohibiting Employment Discrimination Based on Heterosexual Conduct or Relationship, 123 A.</w:t>
      </w:r>
      <w:r>
        <w:rPr>
          <w:rFonts w:ascii="Arial" w:eastAsia="Arial" w:hAnsi="Arial" w:cs="Arial"/>
          <w:color w:val="000000"/>
        </w:rPr>
        <w:t>L.R.5th 411</w:t>
      </w:r>
    </w:p>
    <w:p w:rsidR="007A6EB4" w:rsidRDefault="006F3363">
      <w:pPr>
        <w:spacing w:before="120" w:line="300" w:lineRule="atLeast"/>
      </w:pPr>
      <w:r>
        <w:rPr>
          <w:rFonts w:ascii="Arial" w:eastAsia="Arial" w:hAnsi="Arial" w:cs="Arial"/>
          <w:color w:val="000000"/>
        </w:rPr>
        <w:t>Necessity of, and What Constitutes, Employer's Reasonable Accommodation of Employee's Religious Preference Under State Law, 107 A.L.R.5th 623</w:t>
      </w:r>
    </w:p>
    <w:p w:rsidR="007A6EB4" w:rsidRDefault="006F3363">
      <w:pPr>
        <w:spacing w:before="120" w:line="300" w:lineRule="atLeast"/>
      </w:pPr>
      <w:r>
        <w:rPr>
          <w:rFonts w:ascii="Arial" w:eastAsia="Arial" w:hAnsi="Arial" w:cs="Arial"/>
          <w:color w:val="000000"/>
        </w:rPr>
        <w:t>When Is Supervisor's or Coemployee's Hostile Environment Sexual Harassment Imputable to Employer Under</w:t>
      </w:r>
      <w:r>
        <w:rPr>
          <w:rFonts w:ascii="Arial" w:eastAsia="Arial" w:hAnsi="Arial" w:cs="Arial"/>
          <w:color w:val="000000"/>
        </w:rPr>
        <w:t xml:space="preserve"> State Law, 94 A.L.R.5th 1</w:t>
      </w:r>
    </w:p>
    <w:p w:rsidR="007A6EB4" w:rsidRDefault="006F3363">
      <w:pPr>
        <w:spacing w:before="120" w:line="300" w:lineRule="atLeast"/>
      </w:pPr>
      <w:r>
        <w:rPr>
          <w:rFonts w:ascii="Arial" w:eastAsia="Arial" w:hAnsi="Arial" w:cs="Arial"/>
          <w:color w:val="000000"/>
        </w:rPr>
        <w:t>When is Work Environment Intimidating, Hostile or Offensive, so as to Constitute Sexual Harassment Under State Law, 93 A.L.R.5th 47</w:t>
      </w:r>
    </w:p>
    <w:p w:rsidR="007A6EB4" w:rsidRDefault="006F3363">
      <w:pPr>
        <w:spacing w:before="120" w:line="300" w:lineRule="atLeast"/>
      </w:pPr>
      <w:r>
        <w:rPr>
          <w:rFonts w:ascii="Arial" w:eastAsia="Arial" w:hAnsi="Arial" w:cs="Arial"/>
          <w:color w:val="000000"/>
        </w:rPr>
        <w:t>Individual Liability of Supervisors, Managers, Officers or Co-employees for Discriminatory Action</w:t>
      </w:r>
      <w:r>
        <w:rPr>
          <w:rFonts w:ascii="Arial" w:eastAsia="Arial" w:hAnsi="Arial" w:cs="Arial"/>
          <w:color w:val="000000"/>
        </w:rPr>
        <w:t>s Under State Civil Rights Act, 83 A.L.R.5th 1</w:t>
      </w:r>
    </w:p>
    <w:p w:rsidR="007A6EB4" w:rsidRDefault="006F3363">
      <w:pPr>
        <w:spacing w:before="120" w:line="300" w:lineRule="atLeast"/>
      </w:pPr>
      <w:r>
        <w:rPr>
          <w:rFonts w:ascii="Arial" w:eastAsia="Arial" w:hAnsi="Arial" w:cs="Arial"/>
          <w:color w:val="000000"/>
        </w:rPr>
        <w:t>Application of state law to age discrimination in employment, 51 A.L.R.5th 1</w:t>
      </w:r>
    </w:p>
    <w:p w:rsidR="007A6EB4" w:rsidRDefault="006F3363">
      <w:pPr>
        <w:spacing w:before="120" w:line="300" w:lineRule="atLeast"/>
      </w:pPr>
      <w:r>
        <w:rPr>
          <w:rFonts w:ascii="Arial" w:eastAsia="Arial" w:hAnsi="Arial" w:cs="Arial"/>
          <w:color w:val="000000"/>
        </w:rPr>
        <w:t>Accommodation requirement under state legislation forbidding job discrimination on account of handicap, 76 A.L.R.4th 310</w:t>
      </w:r>
    </w:p>
    <w:p w:rsidR="007A6EB4" w:rsidRDefault="006F3363">
      <w:pPr>
        <w:spacing w:before="120" w:line="300" w:lineRule="atLeast"/>
      </w:pPr>
      <w:r>
        <w:rPr>
          <w:rFonts w:ascii="Arial" w:eastAsia="Arial" w:hAnsi="Arial" w:cs="Arial"/>
          <w:color w:val="000000"/>
        </w:rPr>
        <w:t>What consti</w:t>
      </w:r>
      <w:r>
        <w:rPr>
          <w:rFonts w:ascii="Arial" w:eastAsia="Arial" w:hAnsi="Arial" w:cs="Arial"/>
          <w:color w:val="000000"/>
        </w:rPr>
        <w:t>tutes employment discrimination on basis of "marital status"for purposes of state civil rights laws, 44 A.L.R.4th 1044</w:t>
      </w:r>
    </w:p>
    <w:p w:rsidR="007A6EB4" w:rsidRDefault="006F3363">
      <w:pPr>
        <w:spacing w:before="120" w:line="300" w:lineRule="atLeast"/>
      </w:pPr>
      <w:r>
        <w:rPr>
          <w:rFonts w:ascii="Arial" w:eastAsia="Arial" w:hAnsi="Arial" w:cs="Arial"/>
          <w:color w:val="000000"/>
        </w:rPr>
        <w:t>Florida fair employment practices laws. Employment Discrimination Coordinator, State Law § 13:1</w:t>
      </w:r>
    </w:p>
    <w:p w:rsidR="007A6EB4" w:rsidRDefault="006F3363">
      <w:pPr>
        <w:spacing w:before="120" w:line="300" w:lineRule="atLeast"/>
      </w:pPr>
      <w:r>
        <w:rPr>
          <w:rFonts w:ascii="Arial" w:eastAsia="Arial" w:hAnsi="Arial" w:cs="Arial"/>
          <w:color w:val="000000"/>
        </w:rPr>
        <w:t>Sex Discrimination in Employment Promotio</w:t>
      </w:r>
      <w:r>
        <w:rPr>
          <w:rFonts w:ascii="Arial" w:eastAsia="Arial" w:hAnsi="Arial" w:cs="Arial"/>
          <w:color w:val="000000"/>
        </w:rPr>
        <w:t>n Practices, 46 Am. Jur. Proof of Facts 3d 99</w:t>
      </w:r>
    </w:p>
    <w:p w:rsidR="007A6EB4" w:rsidRDefault="006F3363">
      <w:pPr>
        <w:spacing w:before="120" w:line="300" w:lineRule="atLeast"/>
      </w:pPr>
      <w:r>
        <w:rPr>
          <w:rFonts w:ascii="Arial" w:eastAsia="Arial" w:hAnsi="Arial" w:cs="Arial"/>
          <w:color w:val="000000"/>
        </w:rPr>
        <w:lastRenderedPageBreak/>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Proof of disability discrimination by prospective employer under Americans with Disabilities Act.</w:t>
      </w:r>
      <w:r>
        <w:rPr>
          <w:rFonts w:ascii="Arial" w:eastAsia="Arial" w:hAnsi="Arial" w:cs="Arial"/>
          <w:color w:val="000000"/>
        </w:rPr>
        <w:t xml:space="preserve"> Disability Discrimination Under the Americans with Disabilities Act, 20 Am. Jur. Proof of Facts 3d 361 §§ 35 to 46</w:t>
      </w:r>
    </w:p>
    <w:p w:rsidR="007A6EB4" w:rsidRDefault="006F3363">
      <w:pPr>
        <w:spacing w:before="120" w:line="300" w:lineRule="atLeast"/>
      </w:pPr>
      <w:r>
        <w:rPr>
          <w:rFonts w:ascii="Arial" w:eastAsia="Arial" w:hAnsi="Arial" w:cs="Arial"/>
          <w:color w:val="000000"/>
        </w:rPr>
        <w:t>Am. Jur. Pleading and Practice Forms, Civil Rights § 94 (Findings and conclusions -- By administrative agency -- Racial discrimination by em</w:t>
      </w:r>
      <w:r>
        <w:rPr>
          <w:rFonts w:ascii="Arial" w:eastAsia="Arial" w:hAnsi="Arial" w:cs="Arial"/>
          <w:color w:val="000000"/>
        </w:rPr>
        <w:t>ployer in refusing employment to applicant)</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15" style="position:absolute;z-index:25181184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Terminated worker failed to allege that condominium association where she worked was "employer" within meaning of Florida Civil Rights Act, as required to state claim for sexual </w:t>
      </w:r>
      <w:r>
        <w:rPr>
          <w:rFonts w:ascii="Arial" w:eastAsia="Arial" w:hAnsi="Arial" w:cs="Arial"/>
          <w:color w:val="000000"/>
        </w:rPr>
        <w:t>harassment, age discrimination, or retaliation under Florida Civil Rights Act; worker alleged that she was "employee" under Florida law, but Florida Civil Rights Act did not define term "employee." West's F.S.A. § 760.02(7). Bialek v. Delvista Towers Condo</w:t>
      </w:r>
      <w:r>
        <w:rPr>
          <w:rFonts w:ascii="Arial" w:eastAsia="Arial" w:hAnsi="Arial" w:cs="Arial"/>
          <w:color w:val="000000"/>
        </w:rPr>
        <w:t>minium Ass'n, Inc., 994 F. Supp. 2d 1277 (S.D. Fla. 2014) (applying Florida law).</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16" style="position:absolute;left:0;text-align:left;z-index:25185382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03"/>
          <w:headerReference w:type="default" r:id="rId104"/>
          <w:footerReference w:type="even" r:id="rId105"/>
          <w:footerReference w:type="default" r:id="rId106"/>
          <w:headerReference w:type="first" r:id="rId107"/>
          <w:footerReference w:type="first" r:id="rId108"/>
          <w:pgSz w:w="12240" w:h="15840"/>
          <w:pgMar w:top="840" w:right="1000" w:bottom="840" w:left="1000" w:header="400" w:footer="400" w:gutter="0"/>
          <w:cols w:space="720"/>
          <w:titlePg/>
        </w:sectPr>
      </w:pPr>
    </w:p>
    <w:p w:rsidR="007A6EB4" w:rsidRDefault="007A6EB4">
      <w:bookmarkStart w:id="17" w:name="Bookmark_17"/>
      <w:bookmarkEnd w:id="17"/>
    </w:p>
    <w:p w:rsidR="007A6EB4" w:rsidRDefault="006F3363">
      <w:r>
        <w:pict>
          <v:shape id="_x0000_i1041"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16</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18" style="position:absolute;z-index:25167462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Rachel M. Kane, </w:t>
      </w:r>
      <w:r>
        <w:rPr>
          <w:rFonts w:ascii="Arial" w:eastAsia="Arial" w:hAnsi="Arial" w:cs="Arial"/>
          <w:color w:val="000000"/>
        </w:rPr>
        <w:t>M.A., J.D.</w:t>
      </w:r>
    </w:p>
    <w:p w:rsidR="007A6EB4" w:rsidRDefault="006F3363">
      <w:pPr>
        <w:keepNext/>
        <w:spacing w:before="240" w:line="340" w:lineRule="atLeast"/>
      </w:pPr>
      <w:r>
        <w:rPr>
          <w:rFonts w:ascii="Arial" w:eastAsia="Arial" w:hAnsi="Arial" w:cs="Arial"/>
          <w:b/>
          <w:color w:val="000000"/>
          <w:sz w:val="28"/>
        </w:rPr>
        <w:t>§ 16 Perceived disability; obesity</w:t>
      </w:r>
    </w:p>
    <w:p w:rsidR="007A6EB4" w:rsidRDefault="006F3363">
      <w:pPr>
        <w:spacing w:line="60" w:lineRule="exact"/>
      </w:pPr>
      <w:r>
        <w:pict>
          <v:line id="_x0000_s1119" style="position:absolute;z-index:25172070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A person who has no impairment at all but is regarded by the employer as having a substantially limiting impairment may recover for discrimination.</w:t>
      </w:r>
      <w:r>
        <w:rPr>
          <w:rFonts w:ascii="Arial" w:eastAsia="Arial" w:hAnsi="Arial" w:cs="Arial"/>
          <w:vertAlign w:val="superscript"/>
        </w:rPr>
        <w:footnoteReference w:customMarkFollows="1" w:id="149"/>
        <w:t>n1</w:t>
      </w:r>
      <w:r>
        <w:rPr>
          <w:rFonts w:ascii="Arial" w:eastAsia="Arial" w:hAnsi="Arial" w:cs="Arial"/>
          <w:color w:val="000000"/>
        </w:rPr>
        <w:t xml:space="preserve"> The Florida Civil Rights Act provides protection to those</w:t>
      </w:r>
      <w:r>
        <w:rPr>
          <w:rFonts w:ascii="Arial" w:eastAsia="Arial" w:hAnsi="Arial" w:cs="Arial"/>
          <w:color w:val="000000"/>
        </w:rPr>
        <w:t xml:space="preserve"> individuals who are perceived to have handicaps, not just those who actually are handicapped.</w:t>
      </w:r>
      <w:r>
        <w:rPr>
          <w:rFonts w:ascii="Arial" w:eastAsia="Arial" w:hAnsi="Arial" w:cs="Arial"/>
          <w:vertAlign w:val="superscript"/>
        </w:rPr>
        <w:footnoteReference w:customMarkFollows="1" w:id="150"/>
        <w:t>n2</w:t>
      </w:r>
      <w:r>
        <w:rPr>
          <w:rFonts w:ascii="Arial" w:eastAsia="Arial" w:hAnsi="Arial" w:cs="Arial"/>
          <w:color w:val="000000"/>
        </w:rPr>
        <w:t xml:space="preserve"> Under the Florida Civil Rights Act, a plaintiff may be "regarded as" disabled in two ways: (1) a covered entity mistakenly believes that a person has a physica</w:t>
      </w:r>
      <w:r>
        <w:rPr>
          <w:rFonts w:ascii="Arial" w:eastAsia="Arial" w:hAnsi="Arial" w:cs="Arial"/>
          <w:color w:val="000000"/>
        </w:rPr>
        <w:t>l impairment that substantially limits one or more major life activities, or (2) a covered entity mistakenly believes that an actual, nonlimiting impairment substantially limits one or more major life activities.</w:t>
      </w:r>
      <w:r>
        <w:rPr>
          <w:rFonts w:ascii="Arial" w:eastAsia="Arial" w:hAnsi="Arial" w:cs="Arial"/>
          <w:vertAlign w:val="superscript"/>
        </w:rPr>
        <w:footnoteReference w:customMarkFollows="1" w:id="151"/>
        <w:t>n3</w:t>
      </w:r>
    </w:p>
    <w:p w:rsidR="007A6EB4" w:rsidRDefault="006F3363">
      <w:pPr>
        <w:spacing w:before="200" w:line="300" w:lineRule="atLeast"/>
        <w:jc w:val="both"/>
      </w:pPr>
      <w:r>
        <w:rPr>
          <w:rFonts w:ascii="Arial" w:eastAsia="Arial" w:hAnsi="Arial" w:cs="Arial"/>
          <w:color w:val="000000"/>
        </w:rPr>
        <w:t>Illustration: An applicant, who alleged t</w:t>
      </w:r>
      <w:r>
        <w:rPr>
          <w:rFonts w:ascii="Arial" w:eastAsia="Arial" w:hAnsi="Arial" w:cs="Arial"/>
          <w:color w:val="000000"/>
        </w:rPr>
        <w:t>hat he was not hired for a teaching position on the basis of a perceived disability of alcoholism, did not establish a prima facie case of disability discrimination under the Florida Civil Rights Act where there was no indication that a school district per</w:t>
      </w:r>
      <w:r>
        <w:rPr>
          <w:rFonts w:ascii="Arial" w:eastAsia="Arial" w:hAnsi="Arial" w:cs="Arial"/>
          <w:color w:val="000000"/>
        </w:rPr>
        <w:t>ceived him as disabled, human resources followed neutral policies upon discovering the discrepancy between his application and the existence of two previous driving-under-the-influence convictions, and because the applicant did not requalify until after th</w:t>
      </w:r>
      <w:r>
        <w:rPr>
          <w:rFonts w:ascii="Arial" w:eastAsia="Arial" w:hAnsi="Arial" w:cs="Arial"/>
          <w:color w:val="000000"/>
        </w:rPr>
        <w:t>e school district offered another individual the position, school policy foreclosed any choice to select the applicant.</w:t>
      </w:r>
      <w:r>
        <w:rPr>
          <w:rFonts w:ascii="Arial" w:eastAsia="Arial" w:hAnsi="Arial" w:cs="Arial"/>
          <w:vertAlign w:val="superscript"/>
        </w:rPr>
        <w:footnoteReference w:customMarkFollows="1" w:id="152"/>
        <w:t>n4</w:t>
      </w:r>
    </w:p>
    <w:p w:rsidR="007A6EB4" w:rsidRDefault="006F3363">
      <w:pPr>
        <w:spacing w:before="200" w:line="300" w:lineRule="atLeast"/>
        <w:jc w:val="both"/>
      </w:pPr>
      <w:r>
        <w:rPr>
          <w:rFonts w:ascii="Arial" w:eastAsia="Arial" w:hAnsi="Arial" w:cs="Arial"/>
          <w:color w:val="000000"/>
        </w:rPr>
        <w:lastRenderedPageBreak/>
        <w:t>Obesity can be a disability protected by the Florida Civil Rights Act.</w:t>
      </w:r>
      <w:r>
        <w:rPr>
          <w:rFonts w:ascii="Arial" w:eastAsia="Arial" w:hAnsi="Arial" w:cs="Arial"/>
          <w:vertAlign w:val="superscript"/>
        </w:rPr>
        <w:footnoteReference w:customMarkFollows="1" w:id="153"/>
        <w:t>n5</w:t>
      </w:r>
      <w:r>
        <w:rPr>
          <w:rFonts w:ascii="Arial" w:eastAsia="Arial" w:hAnsi="Arial" w:cs="Arial"/>
          <w:color w:val="000000"/>
        </w:rPr>
        <w:t xml:space="preserve"> Morbid obesity can be an impairment that substantially limits</w:t>
      </w:r>
      <w:r>
        <w:rPr>
          <w:rFonts w:ascii="Arial" w:eastAsia="Arial" w:hAnsi="Arial" w:cs="Arial"/>
          <w:color w:val="000000"/>
        </w:rPr>
        <w:t xml:space="preserve"> the major life activity of working and therefore can constitute a disability protected by the Florida Civil Rights Act if the employer so regards the obesity.</w:t>
      </w:r>
      <w:r>
        <w:rPr>
          <w:rFonts w:ascii="Arial" w:eastAsia="Arial" w:hAnsi="Arial" w:cs="Arial"/>
          <w:vertAlign w:val="superscript"/>
        </w:rPr>
        <w:footnoteReference w:customMarkFollows="1" w:id="154"/>
        <w:t>n6</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20" style="position:absolute;z-index:25176678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w:t>
      </w:r>
      <w:r>
        <w:rPr>
          <w:rFonts w:ascii="Arial" w:eastAsia="Arial" w:hAnsi="Arial" w:cs="Arial"/>
          <w:color w:val="000000"/>
        </w:rPr>
        <w:t>1019(5), 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w:t>
      </w:r>
      <w:r>
        <w:rPr>
          <w:rFonts w:ascii="Arial" w:eastAsia="Arial" w:hAnsi="Arial" w:cs="Arial"/>
          <w:color w:val="000000"/>
        </w:rPr>
        <w:t xml:space="preserve">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w:t>
      </w:r>
      <w:r>
        <w:rPr>
          <w:rFonts w:ascii="Arial" w:eastAsia="Arial" w:hAnsi="Arial" w:cs="Arial"/>
          <w:color w:val="000000"/>
        </w:rPr>
        <w:t>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w:t>
      </w:r>
      <w:r>
        <w:rPr>
          <w:rFonts w:ascii="Arial" w:eastAsia="Arial" w:hAnsi="Arial" w:cs="Arial"/>
          <w:color w:val="000000"/>
        </w:rPr>
        <w:t>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 to 1218, 1225(1) to 1225(3), 1242 to 1245</w:t>
      </w:r>
      <w:r>
        <w:rPr>
          <w:rFonts w:ascii="Arial" w:eastAsia="Arial" w:hAnsi="Arial" w:cs="Arial"/>
          <w:color w:val="000000"/>
        </w:rPr>
        <w:t>,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 xml:space="preserve">West's A.L.R. Digest, </w:t>
      </w:r>
      <w:r>
        <w:rPr>
          <w:rFonts w:ascii="Arial" w:eastAsia="Arial" w:hAnsi="Arial" w:cs="Arial"/>
          <w:color w:val="000000"/>
        </w:rPr>
        <w:t>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w:t>
      </w:r>
      <w:r>
        <w:rPr>
          <w:rFonts w:ascii="Arial" w:eastAsia="Arial" w:hAnsi="Arial" w:cs="Arial"/>
          <w:color w:val="000000"/>
        </w:rPr>
        <w:t>ion Coordinator, State Law § 13:1</w:t>
      </w:r>
    </w:p>
    <w:p w:rsidR="007A6EB4" w:rsidRDefault="006F3363">
      <w:pPr>
        <w:spacing w:before="120" w:line="300" w:lineRule="atLeast"/>
      </w:pPr>
      <w:r>
        <w:rPr>
          <w:rFonts w:ascii="Arial" w:eastAsia="Arial" w:hAnsi="Arial" w:cs="Arial"/>
          <w:color w:val="000000"/>
        </w:rPr>
        <w:lastRenderedPageBreak/>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w:t>
      </w:r>
      <w:r>
        <w:rPr>
          <w:rFonts w:ascii="Arial" w:eastAsia="Arial" w:hAnsi="Arial" w:cs="Arial"/>
          <w:color w:val="000000"/>
        </w:rPr>
        <w:t>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w:t>
      </w:r>
      <w:r>
        <w:rPr>
          <w:rFonts w:ascii="Arial" w:eastAsia="Arial" w:hAnsi="Arial" w:cs="Arial"/>
          <w:color w:val="000000"/>
        </w:rPr>
        <w: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w:t>
      </w:r>
      <w:r>
        <w:rPr>
          <w:rFonts w:ascii="Arial" w:eastAsia="Arial" w:hAnsi="Arial" w:cs="Arial"/>
          <w:color w:val="000000"/>
        </w:rPr>
        <w:t>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w:t>
      </w:r>
      <w:r>
        <w:rPr>
          <w:rFonts w:ascii="Arial" w:eastAsia="Arial" w:hAnsi="Arial" w:cs="Arial"/>
          <w:color w:val="000000"/>
        </w:rPr>
        <w:t>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w:t>
      </w:r>
      <w:r>
        <w:rPr>
          <w:rFonts w:ascii="Arial" w:eastAsia="Arial" w:hAnsi="Arial" w:cs="Arial"/>
          <w:color w:val="000000"/>
        </w:rPr>
        <w:t xml:space="preserve">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w:t>
      </w:r>
      <w:r>
        <w:rPr>
          <w:rFonts w:ascii="Arial" w:eastAsia="Arial" w:hAnsi="Arial" w:cs="Arial"/>
          <w:color w:val="000000"/>
        </w:rPr>
        <w:t>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 xml:space="preserve">Florida </w:t>
      </w:r>
      <w:r>
        <w:rPr>
          <w:rFonts w:ascii="Arial" w:eastAsia="Arial" w:hAnsi="Arial" w:cs="Arial"/>
          <w:color w:val="000000"/>
        </w:rPr>
        <w:t>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[westkey]1019(3), 1019(5), 1218(3), 1218(6)</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21" style="position:absolute;z-index:25181286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Similar to the </w:t>
      </w:r>
      <w:r>
        <w:rPr>
          <w:rFonts w:ascii="Arial" w:eastAsia="Arial" w:hAnsi="Arial" w:cs="Arial"/>
          <w:color w:val="000000"/>
        </w:rPr>
        <w:t xml:space="preserve">framework for evaluating a claim based on an actual disability, to succeed on a perceived disability claim under the ADA and the Florida Civil Rights Act (FCRA), a plaintiff must </w:t>
      </w:r>
      <w:r>
        <w:rPr>
          <w:rFonts w:ascii="Arial" w:eastAsia="Arial" w:hAnsi="Arial" w:cs="Arial"/>
          <w:color w:val="000000"/>
        </w:rPr>
        <w:lastRenderedPageBreak/>
        <w:t>show that (1) the employer regarded him as having a disability, (2) that he w</w:t>
      </w:r>
      <w:r>
        <w:rPr>
          <w:rFonts w:ascii="Arial" w:eastAsia="Arial" w:hAnsi="Arial" w:cs="Arial"/>
          <w:color w:val="000000"/>
        </w:rPr>
        <w:t>as qualified, and (3) he was discriminated against because of his perceived disability. Americans with Disabilities Act of 1990 § 3, 42 U.S.C.A. § 12102(1); Fla. Stat. Ann. § 760.01 et seq. Leme v. Southern Baptist Hospital of Florida, Inc., 248 F. Supp. 3</w:t>
      </w:r>
      <w:r>
        <w:rPr>
          <w:rFonts w:ascii="Arial" w:eastAsia="Arial" w:hAnsi="Arial" w:cs="Arial"/>
          <w:color w:val="000000"/>
        </w:rPr>
        <w:t>d 1319 (M.D. Fla. 2017).</w:t>
      </w:r>
    </w:p>
    <w:p w:rsidR="007A6EB4" w:rsidRDefault="006F3363">
      <w:pPr>
        <w:spacing w:before="200" w:line="300" w:lineRule="atLeast"/>
        <w:jc w:val="both"/>
      </w:pPr>
      <w:r>
        <w:rPr>
          <w:rFonts w:ascii="Arial" w:eastAsia="Arial" w:hAnsi="Arial" w:cs="Arial"/>
          <w:color w:val="000000"/>
        </w:rPr>
        <w:t xml:space="preserve">Employee's kidney failure and chronic heart failure did not substantially limit one or more major life activities at time of his termination, and, thus, he was not disabled within meaning of ADA or Florida Civil Rights Act (FCRA); </w:t>
      </w:r>
      <w:r>
        <w:rPr>
          <w:rFonts w:ascii="Arial" w:eastAsia="Arial" w:hAnsi="Arial" w:cs="Arial"/>
          <w:color w:val="000000"/>
        </w:rPr>
        <w:t xml:space="preserve">employee received a kidney transplant and a defibrillator and was taking medication for his conditions, allowing him to function normally, and his need to avoid large crowds and moldy or dusty areas because of his medications and his inability to stand or </w:t>
      </w:r>
      <w:r>
        <w:rPr>
          <w:rFonts w:ascii="Arial" w:eastAsia="Arial" w:hAnsi="Arial" w:cs="Arial"/>
          <w:color w:val="000000"/>
        </w:rPr>
        <w:t>sit for long periods of time did not equate to substantial limitations on a major life activity. 42 U.S.C.(2008 Ed.Supp.II) § 12102(2); West's F.S.A. § 760.10 et seq. Corning v. LodgeNet Interactive Corp., 896 F. Supp. 2d 1138 (M.D. Fla. 2012).</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w:t>
      </w:r>
      <w:r>
        <w:rPr>
          <w:rFonts w:ascii="Arial" w:eastAsia="Arial" w:hAnsi="Arial" w:cs="Arial"/>
          <w:color w:val="000000"/>
        </w:rPr>
        <w:t>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22" style="position:absolute;left:0;text-align:left;z-index:25185484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09"/>
          <w:headerReference w:type="default" r:id="rId110"/>
          <w:footerReference w:type="even" r:id="rId111"/>
          <w:footerReference w:type="default" r:id="rId112"/>
          <w:headerReference w:type="first" r:id="rId113"/>
          <w:footerReference w:type="first" r:id="rId114"/>
          <w:pgSz w:w="12240" w:h="15840"/>
          <w:pgMar w:top="840" w:right="1000" w:bottom="840" w:left="1000" w:header="400" w:footer="400" w:gutter="0"/>
          <w:cols w:space="720"/>
          <w:titlePg/>
        </w:sectPr>
      </w:pPr>
    </w:p>
    <w:p w:rsidR="007A6EB4" w:rsidRDefault="007A6EB4">
      <w:bookmarkStart w:id="18" w:name="Bookmark_18"/>
      <w:bookmarkEnd w:id="18"/>
    </w:p>
    <w:p w:rsidR="007A6EB4" w:rsidRDefault="006F3363">
      <w:r>
        <w:pict>
          <v:shape id="_x0000_i1042"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17</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 xml:space="preserve">Civil </w:t>
      </w:r>
      <w:r>
        <w:rPr>
          <w:rFonts w:ascii="Arial" w:eastAsia="Arial" w:hAnsi="Arial" w:cs="Arial"/>
          <w:b/>
          <w:i/>
          <w:color w:val="000000"/>
          <w:sz w:val="22"/>
        </w:rPr>
        <w:t>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24" style="position:absolute;z-index:25167564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17 Discrimination by employment agency; employment labor organization</w:t>
      </w:r>
    </w:p>
    <w:p w:rsidR="007A6EB4" w:rsidRDefault="006F3363">
      <w:pPr>
        <w:spacing w:line="60" w:lineRule="exact"/>
      </w:pPr>
      <w:r>
        <w:pict>
          <v:line id="_x0000_s1125" style="position:absolute;z-index:25172172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It is an unlawful em</w:t>
      </w:r>
      <w:r>
        <w:rPr>
          <w:rFonts w:ascii="Arial" w:eastAsia="Arial" w:hAnsi="Arial" w:cs="Arial"/>
          <w:color w:val="000000"/>
        </w:rPr>
        <w:t>ployment practice for an employment agency to fail or refuse to refer for employment, to classify or refer for employment, or otherwise to discriminate against any individual because of race, color, religion, sex, national origin, age, handicap, or marital</w:t>
      </w:r>
      <w:r>
        <w:rPr>
          <w:rFonts w:ascii="Arial" w:eastAsia="Arial" w:hAnsi="Arial" w:cs="Arial"/>
          <w:color w:val="000000"/>
        </w:rPr>
        <w:t xml:space="preserve"> status.</w:t>
      </w:r>
      <w:r>
        <w:rPr>
          <w:rFonts w:ascii="Arial" w:eastAsia="Arial" w:hAnsi="Arial" w:cs="Arial"/>
          <w:vertAlign w:val="superscript"/>
        </w:rPr>
        <w:footnoteReference w:customMarkFollows="1" w:id="155"/>
        <w:t>n1</w:t>
      </w:r>
    </w:p>
    <w:p w:rsidR="007A6EB4" w:rsidRDefault="006F3363">
      <w:pPr>
        <w:spacing w:before="200" w:line="300" w:lineRule="atLeast"/>
        <w:jc w:val="both"/>
      </w:pPr>
      <w:r>
        <w:rPr>
          <w:rFonts w:ascii="Arial" w:eastAsia="Arial" w:hAnsi="Arial" w:cs="Arial"/>
          <w:color w:val="000000"/>
        </w:rPr>
        <w:t>Definition: An "employment agency" is defined, for such purposes, as any person regularly undertaking, with or without compensation, to procure employees for an employer or to procure for employees opportunities to work for an employer and inclu</w:t>
      </w:r>
      <w:r>
        <w:rPr>
          <w:rFonts w:ascii="Arial" w:eastAsia="Arial" w:hAnsi="Arial" w:cs="Arial"/>
          <w:color w:val="000000"/>
        </w:rPr>
        <w:t>des an agent of such a person.</w:t>
      </w:r>
      <w:r>
        <w:rPr>
          <w:rFonts w:ascii="Arial" w:eastAsia="Arial" w:hAnsi="Arial" w:cs="Arial"/>
          <w:vertAlign w:val="superscript"/>
        </w:rPr>
        <w:footnoteReference w:customMarkFollows="1" w:id="156"/>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26" style="position:absolute;z-index:25176780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1019(5), 1024, 1104, 1107, 1111, 1113 to 1116, 1136 to 1138, 1140, 1141, 1164 to 1190, 1196, 1206, 1207, 1216 to 1218, 1225(1) to </w:t>
      </w:r>
      <w:r>
        <w:rPr>
          <w:rFonts w:ascii="Arial" w:eastAsia="Arial" w:hAnsi="Arial" w:cs="Arial"/>
          <w:color w:val="000000"/>
        </w:rPr>
        <w:t>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lastRenderedPageBreak/>
        <w:t>A.L.R. Index, Discharge from Employme</w:t>
      </w:r>
      <w:r>
        <w:rPr>
          <w:rFonts w:ascii="Arial" w:eastAsia="Arial" w:hAnsi="Arial" w:cs="Arial"/>
          <w:color w:val="000000"/>
        </w:rPr>
        <w:t>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w:t>
      </w:r>
      <w:r>
        <w:rPr>
          <w:rFonts w:ascii="Arial" w:eastAsia="Arial" w:hAnsi="Arial" w:cs="Arial"/>
          <w:color w:val="000000"/>
        </w:rPr>
        <w:t>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w:t>
      </w:r>
      <w:r>
        <w:rPr>
          <w:rFonts w:ascii="Arial" w:eastAsia="Arial" w:hAnsi="Arial" w:cs="Arial"/>
          <w:color w:val="000000"/>
        </w:rPr>
        <w:t>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w:t>
      </w:r>
      <w:r>
        <w:rPr>
          <w:rFonts w:ascii="Arial" w:eastAsia="Arial" w:hAnsi="Arial" w:cs="Arial"/>
          <w:color w:val="000000"/>
        </w:rPr>
        <w:t>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w:t>
      </w:r>
      <w:r>
        <w:rPr>
          <w:rFonts w:ascii="Arial" w:eastAsia="Arial" w:hAnsi="Arial" w:cs="Arial"/>
          <w:color w:val="000000"/>
        </w:rPr>
        <w:t>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w:t>
      </w:r>
      <w:r>
        <w:rPr>
          <w:rFonts w:ascii="Arial" w:eastAsia="Arial" w:hAnsi="Arial" w:cs="Arial"/>
          <w:color w:val="000000"/>
        </w:rPr>
        <w:t>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w:t>
      </w:r>
      <w:r>
        <w:rPr>
          <w:rFonts w:ascii="Arial" w:eastAsia="Arial" w:hAnsi="Arial" w:cs="Arial"/>
          <w:color w:val="000000"/>
        </w:rPr>
        <w:t>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Discriminatory Termination of HIV-Positive Employee, 26 Am. Jur. Proof of Facts 3d </w:t>
      </w:r>
      <w:r>
        <w:rPr>
          <w:rFonts w:ascii="Arial" w:eastAsia="Arial" w:hAnsi="Arial" w:cs="Arial"/>
          <w:color w:val="000000"/>
        </w:rPr>
        <w:t>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 xml:space="preserve">Employment Discrimination Claims Based on Mental Illness or Impairment Under the Americans With Disabilities Act, 122 Am. Jur. Trials </w:t>
      </w:r>
      <w:r>
        <w:rPr>
          <w:rFonts w:ascii="Arial" w:eastAsia="Arial" w:hAnsi="Arial" w:cs="Arial"/>
          <w:color w:val="000000"/>
        </w:rPr>
        <w:t>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lastRenderedPageBreak/>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 xml:space="preserve">Sex </w:t>
      </w:r>
      <w:r>
        <w:rPr>
          <w:rFonts w:ascii="Arial" w:eastAsia="Arial" w:hAnsi="Arial" w:cs="Arial"/>
          <w:color w:val="000000"/>
        </w:rPr>
        <w:t>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w:t>
      </w:r>
      <w:r>
        <w:rPr>
          <w:rFonts w:ascii="Arial" w:eastAsia="Arial" w:hAnsi="Arial" w:cs="Arial"/>
          <w:color w:val="000000"/>
        </w:rPr>
        <w:t>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27" style="position:absolute;z-index:25181388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w:t>
      </w:r>
      <w:r>
        <w:rPr>
          <w:rFonts w:ascii="Arial" w:eastAsia="Arial" w:hAnsi="Arial" w:cs="Arial"/>
          <w:color w:val="000000"/>
        </w:rPr>
        <w:t>es</w:t>
      </w:r>
    </w:p>
    <w:p w:rsidR="007A6EB4" w:rsidRDefault="006F3363">
      <w:pPr>
        <w:spacing w:before="60" w:line="300" w:lineRule="atLeast"/>
        <w:jc w:val="both"/>
      </w:pPr>
      <w:r>
        <w:rPr>
          <w:rFonts w:ascii="Arial" w:eastAsia="Arial" w:hAnsi="Arial" w:cs="Arial"/>
          <w:color w:val="000000"/>
        </w:rPr>
        <w:t>§ 760.10(2), Fla. Stat. was amended, effective July 1, 2015, to add an individual's pregnancy to the list of an individual's attributes making the specified actions referred to in the statute unlawful employment practices.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w:t>
      </w:r>
      <w:r>
        <w:rPr>
          <w:rFonts w:ascii="Arial" w:eastAsia="Arial" w:hAnsi="Arial" w:cs="Arial"/>
          <w:color w:val="000000"/>
          <w:sz w:val="20"/>
        </w:rPr>
        <w:t>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28" style="position:absolute;left:0;text-align:left;z-index:25185587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15"/>
          <w:headerReference w:type="default" r:id="rId116"/>
          <w:footerReference w:type="even" r:id="rId117"/>
          <w:footerReference w:type="default" r:id="rId118"/>
          <w:headerReference w:type="first" r:id="rId119"/>
          <w:footerReference w:type="first" r:id="rId120"/>
          <w:pgSz w:w="12240" w:h="15840"/>
          <w:pgMar w:top="840" w:right="1000" w:bottom="840" w:left="1000" w:header="400" w:footer="400" w:gutter="0"/>
          <w:cols w:space="720"/>
          <w:titlePg/>
        </w:sectPr>
      </w:pPr>
    </w:p>
    <w:p w:rsidR="007A6EB4" w:rsidRDefault="007A6EB4">
      <w:bookmarkStart w:id="19" w:name="Bookmark_19"/>
      <w:bookmarkEnd w:id="19"/>
    </w:p>
    <w:p w:rsidR="007A6EB4" w:rsidRDefault="006F3363">
      <w:r>
        <w:pict>
          <v:shape id="_x0000_i1043"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18</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 xml:space="preserve">II. State </w:t>
      </w:r>
      <w:r>
        <w:rPr>
          <w:rFonts w:ascii="Arial" w:eastAsia="Arial" w:hAnsi="Arial" w:cs="Arial"/>
          <w:b/>
          <w:i/>
          <w:color w:val="000000"/>
          <w:sz w:val="22"/>
        </w:rPr>
        <w:t>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30" style="position:absolute;z-index:25167667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18 Discrimination by labor organization, generally</w:t>
      </w:r>
    </w:p>
    <w:p w:rsidR="007A6EB4" w:rsidRDefault="006F3363">
      <w:pPr>
        <w:spacing w:line="60" w:lineRule="exact"/>
      </w:pPr>
      <w:r>
        <w:pict>
          <v:line id="_x0000_s1131" style="position:absolute;z-index:25172275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an unlawful employment practice for a labor </w:t>
      </w:r>
      <w:r>
        <w:rPr>
          <w:rFonts w:ascii="Arial" w:eastAsia="Arial" w:hAnsi="Arial" w:cs="Arial"/>
          <w:color w:val="000000"/>
        </w:rPr>
        <w:t>organization:</w:t>
      </w:r>
    </w:p>
    <w:p w:rsidR="007A6EB4" w:rsidRDefault="006F3363">
      <w:pPr>
        <w:spacing w:before="200" w:line="300" w:lineRule="atLeast"/>
        <w:jc w:val="both"/>
      </w:pPr>
      <w:r>
        <w:rPr>
          <w:rFonts w:ascii="Arial" w:eastAsia="Arial" w:hAnsi="Arial" w:cs="Arial"/>
          <w:color w:val="000000"/>
        </w:rPr>
        <w:t>(1)to exclude or to expel from its membership or otherwise to discriminate against any individual because of race, color, religion, sex, national origin, age, handicap, or marital status;</w:t>
      </w:r>
      <w:r>
        <w:rPr>
          <w:rFonts w:ascii="Arial" w:eastAsia="Arial" w:hAnsi="Arial" w:cs="Arial"/>
          <w:vertAlign w:val="superscript"/>
        </w:rPr>
        <w:footnoteReference w:customMarkFollows="1" w:id="157"/>
        <w:t>n1</w:t>
      </w:r>
    </w:p>
    <w:p w:rsidR="007A6EB4" w:rsidRDefault="006F3363">
      <w:pPr>
        <w:spacing w:before="200" w:line="300" w:lineRule="atLeast"/>
        <w:jc w:val="both"/>
      </w:pPr>
      <w:r>
        <w:rPr>
          <w:rFonts w:ascii="Arial" w:eastAsia="Arial" w:hAnsi="Arial" w:cs="Arial"/>
          <w:color w:val="000000"/>
        </w:rPr>
        <w:t>(2)to limit, segregate, or classify its membership o</w:t>
      </w:r>
      <w:r>
        <w:rPr>
          <w:rFonts w:ascii="Arial" w:eastAsia="Arial" w:hAnsi="Arial" w:cs="Arial"/>
          <w:color w:val="000000"/>
        </w:rPr>
        <w:t xml:space="preserve">r applicants for membership, or to classify or fail or refuse to refer for employment any individual, in any way that would deprive or tend to deprive any individual of employment opportunities or adversely affect any individual's status as an employee or </w:t>
      </w:r>
      <w:r>
        <w:rPr>
          <w:rFonts w:ascii="Arial" w:eastAsia="Arial" w:hAnsi="Arial" w:cs="Arial"/>
          <w:color w:val="000000"/>
        </w:rPr>
        <w:t>as an applicant for employment because of such individual's race, color, religion, sex, national origin, age, handicap, or marital status;</w:t>
      </w:r>
      <w:r>
        <w:rPr>
          <w:rFonts w:ascii="Arial" w:eastAsia="Arial" w:hAnsi="Arial" w:cs="Arial"/>
          <w:vertAlign w:val="superscript"/>
        </w:rPr>
        <w:footnoteReference w:customMarkFollows="1" w:id="158"/>
        <w:t>n2</w:t>
      </w:r>
      <w:r>
        <w:rPr>
          <w:rFonts w:ascii="Arial" w:eastAsia="Arial" w:hAnsi="Arial" w:cs="Arial"/>
          <w:color w:val="000000"/>
        </w:rPr>
        <w:t xml:space="preserve"> or</w:t>
      </w:r>
    </w:p>
    <w:p w:rsidR="007A6EB4" w:rsidRDefault="006F3363">
      <w:pPr>
        <w:spacing w:before="200" w:line="300" w:lineRule="atLeast"/>
        <w:jc w:val="both"/>
      </w:pPr>
      <w:r>
        <w:rPr>
          <w:rFonts w:ascii="Arial" w:eastAsia="Arial" w:hAnsi="Arial" w:cs="Arial"/>
          <w:color w:val="000000"/>
        </w:rPr>
        <w:t>(3)to cause or attempt to cause an employer to discriminate against an individual in violation of this statute.</w:t>
      </w:r>
      <w:r>
        <w:rPr>
          <w:rFonts w:ascii="Arial" w:eastAsia="Arial" w:hAnsi="Arial" w:cs="Arial"/>
          <w:vertAlign w:val="superscript"/>
        </w:rPr>
        <w:footnoteReference w:customMarkFollows="1" w:id="159"/>
        <w:t>n</w:t>
      </w:r>
      <w:r>
        <w:rPr>
          <w:rFonts w:ascii="Arial" w:eastAsia="Arial" w:hAnsi="Arial" w:cs="Arial"/>
          <w:vertAlign w:val="superscript"/>
        </w:rPr>
        <w:t>3</w:t>
      </w:r>
    </w:p>
    <w:p w:rsidR="007A6EB4" w:rsidRDefault="006F3363">
      <w:pPr>
        <w:spacing w:before="200" w:line="300" w:lineRule="atLeast"/>
        <w:jc w:val="both"/>
      </w:pPr>
      <w:r>
        <w:rPr>
          <w:rFonts w:ascii="Arial" w:eastAsia="Arial" w:hAnsi="Arial" w:cs="Arial"/>
          <w:color w:val="000000"/>
        </w:rPr>
        <w:t>Definition: A "labor organization," for this purpose, is defined as any organization existing for the purpose, in whole or in part, of collective bargaining or of dealing with employers concerning grievances, terms, or conditions of employment or other m</w:t>
      </w:r>
      <w:r>
        <w:rPr>
          <w:rFonts w:ascii="Arial" w:eastAsia="Arial" w:hAnsi="Arial" w:cs="Arial"/>
          <w:color w:val="000000"/>
        </w:rPr>
        <w:t>utual aid or protection in connection with employment.</w:t>
      </w:r>
      <w:r>
        <w:rPr>
          <w:rFonts w:ascii="Arial" w:eastAsia="Arial" w:hAnsi="Arial" w:cs="Arial"/>
          <w:vertAlign w:val="superscript"/>
        </w:rPr>
        <w:footnoteReference w:customMarkFollows="1" w:id="160"/>
        <w:t>n4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32" style="position:absolute;z-index:25176883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lastRenderedPageBreak/>
        <w:t>West's Key Number Digest, Civil Rights [westkey]1009 to 1016, 1019(3), 1019(5), 1024, 1104, 1107, 1111, 1113 to 1116, 1136 to 1138, 1140, 1141, 1164 to 1190, 1196, 1206, 1207, 1216 to 1</w:t>
      </w:r>
      <w:r>
        <w:rPr>
          <w:rFonts w:ascii="Arial" w:eastAsia="Arial" w:hAnsi="Arial" w:cs="Arial"/>
          <w:color w:val="000000"/>
        </w:rPr>
        <w:t>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w:t>
      </w:r>
      <w:r>
        <w:rPr>
          <w:rFonts w:ascii="Arial" w:eastAsia="Arial" w:hAnsi="Arial" w:cs="Arial"/>
          <w:color w:val="000000"/>
        </w:rPr>
        <w:t>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 xml:space="preserve">A.L.R. Index, Discharge from </w:t>
      </w:r>
      <w:r>
        <w:rPr>
          <w:rFonts w:ascii="Arial" w:eastAsia="Arial" w:hAnsi="Arial" w:cs="Arial"/>
          <w:color w:val="000000"/>
        </w:rPr>
        <w:t>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w:t>
      </w:r>
      <w:r>
        <w:rPr>
          <w:rFonts w:ascii="Arial" w:eastAsia="Arial" w:hAnsi="Arial" w:cs="Arial"/>
          <w:color w:val="000000"/>
        </w:rPr>
        <w:t>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w:t>
      </w:r>
      <w:r>
        <w:rPr>
          <w:rFonts w:ascii="Arial" w:eastAsia="Arial" w:hAnsi="Arial" w:cs="Arial"/>
          <w:color w:val="000000"/>
        </w:rPr>
        <w:t>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 xml:space="preserve">Am. Jur. 2d, Job </w:t>
      </w:r>
      <w:r>
        <w:rPr>
          <w:rFonts w:ascii="Arial" w:eastAsia="Arial" w:hAnsi="Arial" w:cs="Arial"/>
          <w:color w:val="000000"/>
        </w:rPr>
        <w:t>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w:t>
      </w:r>
      <w:r>
        <w:rPr>
          <w:rFonts w:ascii="Arial" w:eastAsia="Arial" w:hAnsi="Arial" w:cs="Arial"/>
          <w:color w:val="000000"/>
        </w:rPr>
        <w:t>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 xml:space="preserve">Proof of Racial </w:t>
      </w:r>
      <w:r>
        <w:rPr>
          <w:rFonts w:ascii="Arial" w:eastAsia="Arial" w:hAnsi="Arial" w:cs="Arial"/>
          <w:color w:val="000000"/>
        </w:rPr>
        <w:t>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w:t>
      </w:r>
      <w:r>
        <w:rPr>
          <w:rFonts w:ascii="Arial" w:eastAsia="Arial" w:hAnsi="Arial" w:cs="Arial"/>
          <w:color w:val="000000"/>
        </w:rPr>
        <w:t>acts 3d 1</w:t>
      </w:r>
    </w:p>
    <w:p w:rsidR="007A6EB4" w:rsidRDefault="006F3363">
      <w:pPr>
        <w:spacing w:before="120" w:line="300" w:lineRule="atLeast"/>
      </w:pPr>
      <w:r>
        <w:rPr>
          <w:rFonts w:ascii="Arial" w:eastAsia="Arial" w:hAnsi="Arial" w:cs="Arial"/>
          <w:color w:val="000000"/>
        </w:rPr>
        <w:lastRenderedPageBreak/>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w:t>
      </w:r>
      <w:r>
        <w:rPr>
          <w:rFonts w:ascii="Arial" w:eastAsia="Arial" w:hAnsi="Arial" w:cs="Arial"/>
          <w:color w:val="000000"/>
        </w:rPr>
        <w:t>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w:t>
      </w:r>
      <w:r>
        <w:rPr>
          <w:rFonts w:ascii="Arial" w:eastAsia="Arial" w:hAnsi="Arial" w:cs="Arial"/>
          <w:color w:val="000000"/>
        </w:rPr>
        <w: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w:t>
      </w:r>
      <w:r>
        <w:rPr>
          <w:rFonts w:ascii="Arial" w:eastAsia="Arial" w:hAnsi="Arial" w:cs="Arial"/>
          <w:color w:val="000000"/>
        </w:rPr>
        <w:t>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 xml:space="preserve">Am. Jur. Pleading and Practice Forms, Constitutional Law § </w:t>
      </w:r>
      <w:r>
        <w:rPr>
          <w:rFonts w:ascii="Arial" w:eastAsia="Arial" w:hAnsi="Arial" w:cs="Arial"/>
          <w:color w:val="000000"/>
        </w:rPr>
        <w:t>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33" style="position:absolute;z-index:25181491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760.10(3)(a), (b), Fla. Stat. were amended, effective July 1, 2015, to add an individual's pregnancy to the list of an individual's attributes making the specified actions referred to in the statute unlawful employment practices..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w:t>
      </w:r>
      <w:r>
        <w:rPr>
          <w:rFonts w:ascii="Arial" w:eastAsia="Arial" w:hAnsi="Arial" w:cs="Arial"/>
          <w:color w:val="000000"/>
        </w:rPr>
        <w:t>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34" style="position:absolute;left:0;text-align:left;z-index:25185689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21"/>
          <w:headerReference w:type="default" r:id="rId122"/>
          <w:footerReference w:type="even" r:id="rId123"/>
          <w:footerReference w:type="default" r:id="rId124"/>
          <w:headerReference w:type="first" r:id="rId125"/>
          <w:footerReference w:type="first" r:id="rId126"/>
          <w:pgSz w:w="12240" w:h="15840"/>
          <w:pgMar w:top="840" w:right="1000" w:bottom="840" w:left="1000" w:header="400" w:footer="400" w:gutter="0"/>
          <w:cols w:space="720"/>
          <w:titlePg/>
        </w:sectPr>
      </w:pPr>
    </w:p>
    <w:p w:rsidR="007A6EB4" w:rsidRDefault="007A6EB4">
      <w:bookmarkStart w:id="20" w:name="Bookmark_20"/>
      <w:bookmarkEnd w:id="20"/>
    </w:p>
    <w:p w:rsidR="007A6EB4" w:rsidRDefault="006F3363">
      <w:r>
        <w:pict>
          <v:shape id="_x0000_i1044"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19</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 xml:space="preserve">Civil </w:t>
      </w:r>
      <w:r>
        <w:rPr>
          <w:rFonts w:ascii="Arial" w:eastAsia="Arial" w:hAnsi="Arial" w:cs="Arial"/>
          <w:b/>
          <w:i/>
          <w:color w:val="000000"/>
          <w:sz w:val="22"/>
        </w:rPr>
        <w:t>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36" style="position:absolute;z-index:25167769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19 Discrimination in training; licensing or certification</w:t>
      </w:r>
    </w:p>
    <w:p w:rsidR="007A6EB4" w:rsidRDefault="006F3363">
      <w:pPr>
        <w:spacing w:line="60" w:lineRule="exact"/>
      </w:pPr>
      <w:r>
        <w:pict>
          <v:line id="_x0000_s1137" style="position:absolute;z-index:25172377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an unlawful </w:t>
      </w:r>
      <w:r>
        <w:rPr>
          <w:rFonts w:ascii="Arial" w:eastAsia="Arial" w:hAnsi="Arial" w:cs="Arial"/>
          <w:color w:val="000000"/>
        </w:rPr>
        <w:t>employment practice for any employer, labor organization, or joint labor-management committee controlling apprenticeship or other training or retraining, including on-the-job training programs, to discriminate against any individual because of race, color,</w:t>
      </w:r>
      <w:r>
        <w:rPr>
          <w:rFonts w:ascii="Arial" w:eastAsia="Arial" w:hAnsi="Arial" w:cs="Arial"/>
          <w:color w:val="000000"/>
        </w:rPr>
        <w:t xml:space="preserve"> religion, sex, national origin, age, handicap, or marital status in admission to, or employment in, any program established to provide apprenticeship or other training.</w:t>
      </w:r>
      <w:r>
        <w:rPr>
          <w:rFonts w:ascii="Arial" w:eastAsia="Arial" w:hAnsi="Arial" w:cs="Arial"/>
          <w:vertAlign w:val="superscript"/>
        </w:rPr>
        <w:footnoteReference w:customMarkFollows="1" w:id="161"/>
        <w:t>n1</w:t>
      </w:r>
    </w:p>
    <w:p w:rsidR="007A6EB4" w:rsidRDefault="006F3363">
      <w:pPr>
        <w:spacing w:before="200" w:line="300" w:lineRule="atLeast"/>
        <w:jc w:val="both"/>
      </w:pPr>
      <w:r>
        <w:rPr>
          <w:rFonts w:ascii="Arial" w:eastAsia="Arial" w:hAnsi="Arial" w:cs="Arial"/>
          <w:color w:val="000000"/>
        </w:rPr>
        <w:t xml:space="preserve">In addition, whenever, in order to engage in a profession, occupation, or trade, it </w:t>
      </w:r>
      <w:r>
        <w:rPr>
          <w:rFonts w:ascii="Arial" w:eastAsia="Arial" w:hAnsi="Arial" w:cs="Arial"/>
          <w:color w:val="000000"/>
        </w:rPr>
        <w:t xml:space="preserve">is required that a person receive a license, certification, or other credential; become a member or an associate of any club, association, or other organization; or pass any examination, it is an unlawful employment practice for any person to discriminate </w:t>
      </w:r>
      <w:r>
        <w:rPr>
          <w:rFonts w:ascii="Arial" w:eastAsia="Arial" w:hAnsi="Arial" w:cs="Arial"/>
          <w:color w:val="000000"/>
        </w:rPr>
        <w:t>against any other person seeking such license, certification, or other credential; seeking to become a member or associate of such club, association, or other organization; or seeking to take or pass such examination because of such other person's race, co</w:t>
      </w:r>
      <w:r>
        <w:rPr>
          <w:rFonts w:ascii="Arial" w:eastAsia="Arial" w:hAnsi="Arial" w:cs="Arial"/>
          <w:color w:val="000000"/>
        </w:rPr>
        <w:t>lor, religion, sex, national origin, age, handicap, or marital status.</w:t>
      </w:r>
      <w:r>
        <w:rPr>
          <w:rFonts w:ascii="Arial" w:eastAsia="Arial" w:hAnsi="Arial" w:cs="Arial"/>
          <w:vertAlign w:val="superscript"/>
        </w:rPr>
        <w:footnoteReference w:customMarkFollows="1" w:id="162"/>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38" style="position:absolute;z-index:25176985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 1206,</w:t>
      </w:r>
      <w:r>
        <w:rPr>
          <w:rFonts w:ascii="Arial" w:eastAsia="Arial" w:hAnsi="Arial" w:cs="Arial"/>
          <w:color w:val="000000"/>
        </w:rPr>
        <w:t xml:space="preserve">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w:t>
      </w:r>
      <w:r>
        <w:rPr>
          <w:rFonts w:ascii="Arial" w:eastAsia="Arial" w:hAnsi="Arial" w:cs="Arial"/>
          <w:color w:val="000000"/>
        </w:rPr>
        <w:t>estkey]1150, 2461, 2463</w:t>
      </w:r>
    </w:p>
    <w:p w:rsidR="007A6EB4" w:rsidRDefault="006F3363">
      <w:pPr>
        <w:spacing w:before="120" w:line="300" w:lineRule="atLeast"/>
      </w:pPr>
      <w:r>
        <w:rPr>
          <w:rFonts w:ascii="Arial" w:eastAsia="Arial" w:hAnsi="Arial" w:cs="Arial"/>
          <w:color w:val="000000"/>
        </w:rPr>
        <w:lastRenderedPageBreak/>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 xml:space="preserve">A.L.R. </w:t>
      </w:r>
      <w:r>
        <w:rPr>
          <w:rFonts w:ascii="Arial" w:eastAsia="Arial" w:hAnsi="Arial" w:cs="Arial"/>
          <w:color w:val="000000"/>
        </w:rPr>
        <w:t>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w:t>
      </w:r>
      <w:r>
        <w:rPr>
          <w:rFonts w:ascii="Arial" w:eastAsia="Arial" w:hAnsi="Arial" w:cs="Arial"/>
          <w:color w:val="000000"/>
        </w:rPr>
        <w:t>16, 1019(3), 1019(5), 1024, 1104, 1107, 1111, 1113 to 1116, 1136 to 1138, 1140, 1141, 1164 to 1190, 1196, 1206, 1207, 1216 to 1218, 1225(1) to 1225(3), 1242 to 1245, 1261, 1262, 1536, 1544, 1545, 1553, 1703, 1704, 1710, 1720, 1727 to 1729, 1736, 1740, 1744</w:t>
      </w:r>
      <w:r>
        <w:rPr>
          <w:rFonts w:ascii="Arial" w:eastAsia="Arial" w:hAnsi="Arial" w:cs="Arial"/>
          <w:color w:val="000000"/>
        </w:rPr>
        <w:t>,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w:t>
      </w:r>
      <w:r>
        <w:rPr>
          <w:rFonts w:ascii="Arial" w:eastAsia="Arial" w:hAnsi="Arial" w:cs="Arial"/>
          <w:color w:val="000000"/>
        </w:rPr>
        <w:t>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w:t>
      </w:r>
      <w:r>
        <w:rPr>
          <w:rFonts w:ascii="Arial" w:eastAsia="Arial" w:hAnsi="Arial" w:cs="Arial"/>
          <w:color w:val="000000"/>
        </w:rPr>
        <w:t>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w:t>
      </w:r>
      <w:r>
        <w:rPr>
          <w:rFonts w:ascii="Arial" w:eastAsia="Arial" w:hAnsi="Arial" w:cs="Arial"/>
          <w:color w:val="000000"/>
        </w:rPr>
        <w:t>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w:t>
      </w:r>
      <w:r>
        <w:rPr>
          <w:rFonts w:ascii="Arial" w:eastAsia="Arial" w:hAnsi="Arial" w:cs="Arial"/>
          <w:color w:val="000000"/>
        </w:rPr>
        <w:t xml:space="preserve">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Discriminatory Termination of </w:t>
      </w:r>
      <w:r>
        <w:rPr>
          <w:rFonts w:ascii="Arial" w:eastAsia="Arial" w:hAnsi="Arial" w:cs="Arial"/>
          <w:color w:val="000000"/>
        </w:rPr>
        <w:t>HIV-Positive Employee, 26 Am. Jur. Proof of Facts 3d 341</w:t>
      </w:r>
    </w:p>
    <w:p w:rsidR="007A6EB4" w:rsidRDefault="006F3363">
      <w:pPr>
        <w:spacing w:before="120" w:line="300" w:lineRule="atLeast"/>
      </w:pPr>
      <w:r>
        <w:rPr>
          <w:rFonts w:ascii="Arial" w:eastAsia="Arial" w:hAnsi="Arial" w:cs="Arial"/>
          <w:color w:val="000000"/>
        </w:rPr>
        <w:lastRenderedPageBreak/>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w:t>
      </w:r>
      <w:r>
        <w:rPr>
          <w:rFonts w:ascii="Arial" w:eastAsia="Arial" w:hAnsi="Arial" w:cs="Arial"/>
          <w:color w:val="000000"/>
        </w:rPr>
        <w:t>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w:t>
      </w:r>
      <w:r>
        <w:rPr>
          <w:rFonts w:ascii="Arial" w:eastAsia="Arial" w:hAnsi="Arial" w:cs="Arial"/>
          <w:color w:val="000000"/>
        </w:rPr>
        <w:t>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 xml:space="preserve">Am. Jur. Pleading and Practice </w:t>
      </w:r>
      <w:r>
        <w:rPr>
          <w:rFonts w:ascii="Arial" w:eastAsia="Arial" w:hAnsi="Arial" w:cs="Arial"/>
          <w:color w:val="000000"/>
        </w:rPr>
        <w:t>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 xml:space="preserve">West's Key Number Digest, Civil Rights </w:t>
      </w:r>
      <w:r>
        <w:rPr>
          <w:rFonts w:ascii="Arial" w:eastAsia="Arial" w:hAnsi="Arial" w:cs="Arial"/>
          <w:color w:val="000000"/>
        </w:rPr>
        <w:t>[westkey]1107</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39" style="position:absolute;z-index:25181593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760.10(4), Fla. Stat. was amended, effective July 1, 2015, to add an individual's pregnancy to the list of an individual's attributes making the specified actions referred to in the statute unlawful employment practi</w:t>
      </w:r>
      <w:r>
        <w:rPr>
          <w:rFonts w:ascii="Arial" w:eastAsia="Arial" w:hAnsi="Arial" w:cs="Arial"/>
          <w:color w:val="000000"/>
        </w:rPr>
        <w:t>ces.</w:t>
      </w:r>
    </w:p>
    <w:p w:rsidR="007A6EB4" w:rsidRDefault="006F3363">
      <w:pPr>
        <w:spacing w:before="200" w:line="300" w:lineRule="atLeast"/>
        <w:jc w:val="both"/>
      </w:pPr>
      <w:r>
        <w:rPr>
          <w:rFonts w:ascii="Arial" w:eastAsia="Arial" w:hAnsi="Arial" w:cs="Arial"/>
          <w:color w:val="000000"/>
        </w:rPr>
        <w:t>§ 760.10(5), Fla. Stat. was amended, effective July 1, 2015, to add an individual's pregnancy to the list of an individual's attributes making the specified actions referred to in the statute unlawful employment practices.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 xml:space="preserve">Florida </w:t>
      </w:r>
      <w:r>
        <w:rPr>
          <w:rFonts w:ascii="Arial" w:eastAsia="Arial" w:hAnsi="Arial" w:cs="Arial"/>
          <w:color w:val="000000"/>
          <w:sz w:val="20"/>
        </w:rPr>
        <w:t>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40" style="position:absolute;left:0;text-align:left;z-index:25185792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27"/>
          <w:headerReference w:type="default" r:id="rId128"/>
          <w:footerReference w:type="even" r:id="rId129"/>
          <w:footerReference w:type="default" r:id="rId130"/>
          <w:headerReference w:type="first" r:id="rId131"/>
          <w:footerReference w:type="first" r:id="rId132"/>
          <w:pgSz w:w="12240" w:h="15840"/>
          <w:pgMar w:top="840" w:right="1000" w:bottom="840" w:left="1000" w:header="400" w:footer="400" w:gutter="0"/>
          <w:cols w:space="720"/>
          <w:titlePg/>
        </w:sectPr>
      </w:pPr>
    </w:p>
    <w:p w:rsidR="007A6EB4" w:rsidRDefault="007A6EB4">
      <w:bookmarkStart w:id="21" w:name="Bookmark_21"/>
      <w:bookmarkEnd w:id="21"/>
    </w:p>
    <w:p w:rsidR="007A6EB4" w:rsidRDefault="006F3363">
      <w:r>
        <w:pict>
          <v:shape id="_x0000_i1045"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20</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 xml:space="preserve">II. </w:t>
      </w:r>
      <w:r>
        <w:rPr>
          <w:rFonts w:ascii="Arial" w:eastAsia="Arial" w:hAnsi="Arial" w:cs="Arial"/>
          <w:b/>
          <w:i/>
          <w:color w:val="000000"/>
          <w:sz w:val="22"/>
        </w:rPr>
        <w:t>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42" style="position:absolute;z-index:25167872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20 Discrimination in notices and advertisements</w:t>
      </w:r>
    </w:p>
    <w:p w:rsidR="007A6EB4" w:rsidRDefault="006F3363">
      <w:pPr>
        <w:spacing w:line="60" w:lineRule="exact"/>
      </w:pPr>
      <w:r>
        <w:pict>
          <v:line id="_x0000_s1143" style="position:absolute;z-index:25172480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an unlawful employment practice for an </w:t>
      </w:r>
      <w:r>
        <w:rPr>
          <w:rFonts w:ascii="Arial" w:eastAsia="Arial" w:hAnsi="Arial" w:cs="Arial"/>
          <w:color w:val="000000"/>
        </w:rPr>
        <w:t>employer, labor organization, employment agency, or joint labor-management committee to print, or cause to be printed or published, any notice or advertisement relating to employment, membership, classification, referral for employment, or apprenticeship o</w:t>
      </w:r>
      <w:r>
        <w:rPr>
          <w:rFonts w:ascii="Arial" w:eastAsia="Arial" w:hAnsi="Arial" w:cs="Arial"/>
          <w:color w:val="000000"/>
        </w:rPr>
        <w:t>r other training indicating any preference, limitation, specification, or discrimination based on race, color, religion, sex, national origin, age, absence of handicap, or marital status.</w:t>
      </w:r>
      <w:r>
        <w:rPr>
          <w:rFonts w:ascii="Arial" w:eastAsia="Arial" w:hAnsi="Arial" w:cs="Arial"/>
          <w:vertAlign w:val="superscript"/>
        </w:rPr>
        <w:footnoteReference w:customMarkFollows="1" w:id="163"/>
        <w:t>n1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44" style="position:absolute;z-index:25177088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w:t>
      </w:r>
      <w:r>
        <w:rPr>
          <w:rFonts w:ascii="Arial" w:eastAsia="Arial" w:hAnsi="Arial" w:cs="Arial"/>
          <w:color w:val="000000"/>
        </w:rPr>
        <w:t xml:space="preserve"> to 1016, 1019(3), 1019(5), 1024, 1104, 1107, 1111, 1113 to 1116, 1136 to 1138, 1140, 1141, 1164 to 1190, 1196, 1206, 1207, 1216 to 1218, 1225(1) to 1225(3), 1242 to 1245, 1261, 1262, 1536, 1544, 1545, 1553, 1703, 1704, 1710, 1720, 1727 to 1729, 1736, 1740</w:t>
      </w:r>
      <w:r>
        <w:rPr>
          <w:rFonts w:ascii="Arial" w:eastAsia="Arial" w:hAnsi="Arial" w:cs="Arial"/>
          <w:color w:val="000000"/>
        </w:rPr>
        <w:t>,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w:t>
      </w:r>
      <w:r>
        <w:rPr>
          <w:rFonts w:ascii="Arial" w:eastAsia="Arial" w:hAnsi="Arial" w:cs="Arial"/>
          <w:color w:val="000000"/>
        </w:rPr>
        <w:t>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lastRenderedPageBreak/>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 xml:space="preserve">A.L.R. Index, Religion </w:t>
      </w:r>
      <w:r>
        <w:rPr>
          <w:rFonts w:ascii="Arial" w:eastAsia="Arial" w:hAnsi="Arial" w:cs="Arial"/>
          <w:color w:val="000000"/>
        </w:rPr>
        <w:t>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 to 1218, 1225(1) to 12</w:t>
      </w:r>
      <w:r>
        <w:rPr>
          <w:rFonts w:ascii="Arial" w:eastAsia="Arial" w:hAnsi="Arial" w:cs="Arial"/>
          <w:color w:val="000000"/>
        </w:rPr>
        <w:t>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w:t>
      </w:r>
      <w:r>
        <w:rPr>
          <w:rFonts w:ascii="Arial" w:eastAsia="Arial" w:hAnsi="Arial" w:cs="Arial"/>
          <w:color w:val="000000"/>
        </w:rPr>
        <w:t>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w:t>
      </w:r>
      <w:r>
        <w:rPr>
          <w:rFonts w:ascii="Arial" w:eastAsia="Arial" w:hAnsi="Arial" w:cs="Arial"/>
          <w:color w:val="000000"/>
        </w:rPr>
        <w:t>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 xml:space="preserve">Proof of Discrimination Under Age </w:t>
      </w:r>
      <w:r>
        <w:rPr>
          <w:rFonts w:ascii="Arial" w:eastAsia="Arial" w:hAnsi="Arial" w:cs="Arial"/>
          <w:color w:val="000000"/>
        </w:rPr>
        <w:t>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 xml:space="preserve">Employment Handicap Discrimination Based on Gender Dysphoria </w:t>
      </w:r>
      <w:r>
        <w:rPr>
          <w:rFonts w:ascii="Arial" w:eastAsia="Arial" w:hAnsi="Arial" w:cs="Arial"/>
          <w:color w:val="000000"/>
        </w:rPr>
        <w:t>(Transsexualism),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 xml:space="preserve">Disability Discrimination Based on Dyslexia in Employment Actions </w:t>
      </w:r>
      <w:r>
        <w:rPr>
          <w:rFonts w:ascii="Arial" w:eastAsia="Arial" w:hAnsi="Arial" w:cs="Arial"/>
          <w:color w:val="000000"/>
        </w:rPr>
        <w:t>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lastRenderedPageBreak/>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w:t>
      </w:r>
      <w:r>
        <w:rPr>
          <w:rFonts w:ascii="Arial" w:eastAsia="Arial" w:hAnsi="Arial" w:cs="Arial"/>
          <w:color w:val="000000"/>
        </w:rPr>
        <w: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 xml:space="preserve">Florida Jur. Forms </w:t>
      </w:r>
      <w:r>
        <w:rPr>
          <w:rFonts w:ascii="Arial" w:eastAsia="Arial" w:hAnsi="Arial" w:cs="Arial"/>
          <w:color w:val="000000"/>
        </w:rPr>
        <w:t>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1262</w:t>
      </w:r>
    </w:p>
    <w:p w:rsidR="007A6EB4" w:rsidRDefault="006F3363">
      <w:pPr>
        <w:spacing w:before="120" w:line="300" w:lineRule="atLeast"/>
      </w:pPr>
      <w:r>
        <w:rPr>
          <w:rFonts w:ascii="Arial" w:eastAsia="Arial" w:hAnsi="Arial" w:cs="Arial"/>
          <w:color w:val="000000"/>
        </w:rPr>
        <w:t>Identification of jobseeker by race, religion, national origin, sex, or age, in "situation wanted"employmen</w:t>
      </w:r>
      <w:r>
        <w:rPr>
          <w:rFonts w:ascii="Arial" w:eastAsia="Arial" w:hAnsi="Arial" w:cs="Arial"/>
          <w:color w:val="000000"/>
        </w:rPr>
        <w:t>t advertising as violation of state civil rights laws, 99 A.L.R.3d 154</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45" style="position:absolute;z-index:25181696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xml:space="preserve">§ 760.10(6), Fla. Stat. was amended, effective July 1, 2015, to add an individual's pregnancy to the list of an individual's attributes making the </w:t>
      </w:r>
      <w:r>
        <w:rPr>
          <w:rFonts w:ascii="Arial" w:eastAsia="Arial" w:hAnsi="Arial" w:cs="Arial"/>
          <w:color w:val="000000"/>
        </w:rPr>
        <w:t>specified actions referred to in the statute unlawful employment practices.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46" style="position:absolute;left:0;text-align:left;z-index:25185894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33"/>
          <w:headerReference w:type="default" r:id="rId134"/>
          <w:footerReference w:type="even" r:id="rId135"/>
          <w:footerReference w:type="default" r:id="rId136"/>
          <w:headerReference w:type="first" r:id="rId137"/>
          <w:footerReference w:type="first" r:id="rId138"/>
          <w:pgSz w:w="12240" w:h="15840"/>
          <w:pgMar w:top="840" w:right="1000" w:bottom="840" w:left="1000" w:header="400" w:footer="400" w:gutter="0"/>
          <w:cols w:space="720"/>
          <w:titlePg/>
        </w:sectPr>
      </w:pPr>
    </w:p>
    <w:p w:rsidR="007A6EB4" w:rsidRDefault="007A6EB4">
      <w:bookmarkStart w:id="22" w:name="Bookmark_22"/>
      <w:bookmarkEnd w:id="22"/>
    </w:p>
    <w:p w:rsidR="007A6EB4" w:rsidRDefault="006F3363">
      <w:r>
        <w:pict>
          <v:shape id="_x0000_i1046"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21</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48" style="position:absolute;z-index:25167974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xml:space="preserve">§ 21 </w:t>
      </w:r>
      <w:r>
        <w:rPr>
          <w:rFonts w:ascii="Arial" w:eastAsia="Arial" w:hAnsi="Arial" w:cs="Arial"/>
          <w:b/>
          <w:color w:val="000000"/>
          <w:sz w:val="28"/>
        </w:rPr>
        <w:t>Sex discrimination; sexual harassment; pregnancy discrimination</w:t>
      </w:r>
    </w:p>
    <w:p w:rsidR="007A6EB4" w:rsidRDefault="006F3363">
      <w:pPr>
        <w:spacing w:line="60" w:lineRule="exact"/>
      </w:pPr>
      <w:r>
        <w:pict>
          <v:line id="_x0000_s1149" style="position:absolute;z-index:25172582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Florida does not recognize a common-law cause of action for the negligent failure to maintain a workplace free of sexual harassment.</w:t>
      </w:r>
      <w:r>
        <w:rPr>
          <w:rFonts w:ascii="Arial" w:eastAsia="Arial" w:hAnsi="Arial" w:cs="Arial"/>
          <w:vertAlign w:val="superscript"/>
        </w:rPr>
        <w:footnoteReference w:customMarkFollows="1" w:id="164"/>
        <w:t>n1</w:t>
      </w:r>
      <w:r>
        <w:rPr>
          <w:rFonts w:ascii="Arial" w:eastAsia="Arial" w:hAnsi="Arial" w:cs="Arial"/>
          <w:color w:val="000000"/>
        </w:rPr>
        <w:t xml:space="preserve"> "Sexual discrimination," as used in a county ordinance</w:t>
      </w:r>
      <w:r>
        <w:rPr>
          <w:rFonts w:ascii="Arial" w:eastAsia="Arial" w:hAnsi="Arial" w:cs="Arial"/>
          <w:color w:val="000000"/>
        </w:rPr>
        <w:t>, has, however, been construed by at least one administrative agency to include sexual harassment.</w:t>
      </w:r>
      <w:r>
        <w:rPr>
          <w:rFonts w:ascii="Arial" w:eastAsia="Arial" w:hAnsi="Arial" w:cs="Arial"/>
          <w:vertAlign w:val="superscript"/>
        </w:rPr>
        <w:footnoteReference w:customMarkFollows="1" w:id="165"/>
        <w:t>n2</w:t>
      </w:r>
      <w:r>
        <w:rPr>
          <w:rFonts w:ascii="Arial" w:eastAsia="Arial" w:hAnsi="Arial" w:cs="Arial"/>
          <w:color w:val="000000"/>
        </w:rPr>
        <w:t xml:space="preserve"> In addition, sexual harassment is a form of sex discrimination prohibited by the Florida Civil Rights Act.</w:t>
      </w:r>
      <w:r>
        <w:rPr>
          <w:rFonts w:ascii="Arial" w:eastAsia="Arial" w:hAnsi="Arial" w:cs="Arial"/>
          <w:vertAlign w:val="superscript"/>
        </w:rPr>
        <w:footnoteReference w:customMarkFollows="1" w:id="166"/>
        <w:t>n3</w:t>
      </w:r>
    </w:p>
    <w:p w:rsidR="007A6EB4" w:rsidRDefault="006F3363">
      <w:pPr>
        <w:spacing w:before="200" w:line="300" w:lineRule="atLeast"/>
        <w:jc w:val="both"/>
      </w:pPr>
      <w:r>
        <w:rPr>
          <w:rFonts w:ascii="Arial" w:eastAsia="Arial" w:hAnsi="Arial" w:cs="Arial"/>
          <w:color w:val="000000"/>
        </w:rPr>
        <w:t>For an employer to be liable under the Florida</w:t>
      </w:r>
      <w:r>
        <w:rPr>
          <w:rFonts w:ascii="Arial" w:eastAsia="Arial" w:hAnsi="Arial" w:cs="Arial"/>
          <w:color w:val="000000"/>
        </w:rPr>
        <w:t xml:space="preserve"> Civil Rights Act for sexual harassment, the employee must show that the employer knew or should have known of the harassment and failed to take remedial action.</w:t>
      </w:r>
      <w:r>
        <w:rPr>
          <w:rFonts w:ascii="Arial" w:eastAsia="Arial" w:hAnsi="Arial" w:cs="Arial"/>
          <w:vertAlign w:val="superscript"/>
        </w:rPr>
        <w:footnoteReference w:customMarkFollows="1" w:id="167"/>
        <w:t>n4</w:t>
      </w:r>
      <w:r>
        <w:rPr>
          <w:rFonts w:ascii="Arial" w:eastAsia="Arial" w:hAnsi="Arial" w:cs="Arial"/>
          <w:color w:val="000000"/>
        </w:rPr>
        <w:t xml:space="preserve"> Thus, if an employer is aware of a coworker's sexual harassment and takes no remedial action</w:t>
      </w:r>
      <w:r>
        <w:rPr>
          <w:rFonts w:ascii="Arial" w:eastAsia="Arial" w:hAnsi="Arial" w:cs="Arial"/>
          <w:color w:val="000000"/>
        </w:rPr>
        <w:t xml:space="preserve"> or inadequate steps are taken to prevent recurrence of the harassment, then the employer can be held liable under the Act for damages, compensatory for lost wages, and mental pain and suffering.</w:t>
      </w:r>
      <w:r>
        <w:rPr>
          <w:rFonts w:ascii="Arial" w:eastAsia="Arial" w:hAnsi="Arial" w:cs="Arial"/>
          <w:vertAlign w:val="superscript"/>
        </w:rPr>
        <w:footnoteReference w:customMarkFollows="1" w:id="168"/>
        <w:t>n5</w:t>
      </w:r>
    </w:p>
    <w:p w:rsidR="007A6EB4" w:rsidRDefault="006F3363">
      <w:pPr>
        <w:spacing w:before="200" w:line="300" w:lineRule="atLeast"/>
        <w:jc w:val="both"/>
      </w:pPr>
      <w:r>
        <w:rPr>
          <w:rFonts w:ascii="Arial" w:eastAsia="Arial" w:hAnsi="Arial" w:cs="Arial"/>
          <w:color w:val="000000"/>
        </w:rPr>
        <w:t>Illustration: Sufficient evidence supported a finding that</w:t>
      </w:r>
      <w:r>
        <w:rPr>
          <w:rFonts w:ascii="Arial" w:eastAsia="Arial" w:hAnsi="Arial" w:cs="Arial"/>
          <w:color w:val="000000"/>
        </w:rPr>
        <w:t xml:space="preserve"> an employer failed to take prompt and adequate remedial action after receiving notice that a female employee was being harassed by a coworker, so as to subject the employer to liability under the Florida Civil Rights Act for hostile work environment, thou</w:t>
      </w:r>
      <w:r>
        <w:rPr>
          <w:rFonts w:ascii="Arial" w:eastAsia="Arial" w:hAnsi="Arial" w:cs="Arial"/>
          <w:color w:val="000000"/>
        </w:rPr>
        <w:t xml:space="preserve">gh the employee allegedly did not use the term "sexual harassment" when she complained to supervisors, and the manager decided to change the employee's work schedule so she would not work shifts with the coworker, where the remedy of keeping the two </w:t>
      </w:r>
      <w:r>
        <w:rPr>
          <w:rFonts w:ascii="Arial" w:eastAsia="Arial" w:hAnsi="Arial" w:cs="Arial"/>
          <w:color w:val="000000"/>
        </w:rPr>
        <w:lastRenderedPageBreak/>
        <w:t>employ</w:t>
      </w:r>
      <w:r>
        <w:rPr>
          <w:rFonts w:ascii="Arial" w:eastAsia="Arial" w:hAnsi="Arial" w:cs="Arial"/>
          <w:color w:val="000000"/>
        </w:rPr>
        <w:t>ees separated on work shifts was not adhered to, the employer did not investigate the employee's complaints at any time, and no disciplinary action was taken against the coworker.</w:t>
      </w:r>
      <w:r>
        <w:rPr>
          <w:rFonts w:ascii="Arial" w:eastAsia="Arial" w:hAnsi="Arial" w:cs="Arial"/>
          <w:vertAlign w:val="superscript"/>
        </w:rPr>
        <w:footnoteReference w:customMarkFollows="1" w:id="169"/>
        <w:t>n6</w:t>
      </w:r>
    </w:p>
    <w:p w:rsidR="007A6EB4" w:rsidRDefault="006F3363">
      <w:pPr>
        <w:spacing w:before="200" w:line="300" w:lineRule="atLeast"/>
        <w:jc w:val="both"/>
      </w:pPr>
      <w:r>
        <w:rPr>
          <w:rFonts w:ascii="Arial" w:eastAsia="Arial" w:hAnsi="Arial" w:cs="Arial"/>
          <w:color w:val="000000"/>
        </w:rPr>
        <w:t xml:space="preserve">The grounds for a sexual harassment claim under either Title VII or under </w:t>
      </w:r>
      <w:r>
        <w:rPr>
          <w:rFonts w:ascii="Arial" w:eastAsia="Arial" w:hAnsi="Arial" w:cs="Arial"/>
          <w:color w:val="000000"/>
        </w:rPr>
        <w:t>the Act can be either a tangible employment action</w:t>
      </w:r>
      <w:r>
        <w:rPr>
          <w:rFonts w:ascii="Arial" w:eastAsia="Arial" w:hAnsi="Arial" w:cs="Arial"/>
          <w:vertAlign w:val="superscript"/>
        </w:rPr>
        <w:footnoteReference w:customMarkFollows="1" w:id="170"/>
        <w:t>n7</w:t>
      </w:r>
      <w:r>
        <w:rPr>
          <w:rFonts w:ascii="Arial" w:eastAsia="Arial" w:hAnsi="Arial" w:cs="Arial"/>
          <w:color w:val="000000"/>
        </w:rPr>
        <w:t xml:space="preserve"> or the creation of a hostile work environment caused by sexual harassment that is sufficiently severe or pervasive to alter the terms and conditions of work.</w:t>
      </w:r>
      <w:r>
        <w:rPr>
          <w:rFonts w:ascii="Arial" w:eastAsia="Arial" w:hAnsi="Arial" w:cs="Arial"/>
          <w:vertAlign w:val="superscript"/>
        </w:rPr>
        <w:footnoteReference w:customMarkFollows="1" w:id="171"/>
        <w:t>n8</w:t>
      </w:r>
      <w:r>
        <w:rPr>
          <w:rFonts w:ascii="Arial" w:eastAsia="Arial" w:hAnsi="Arial" w:cs="Arial"/>
          <w:color w:val="000000"/>
        </w:rPr>
        <w:t xml:space="preserve"> Proof that sexual harassment was sufficient</w:t>
      </w:r>
      <w:r>
        <w:rPr>
          <w:rFonts w:ascii="Arial" w:eastAsia="Arial" w:hAnsi="Arial" w:cs="Arial"/>
          <w:color w:val="000000"/>
        </w:rPr>
        <w:t xml:space="preserve">ly severe or pervasive to alter the terms and conditions of employment and create a discriminatorily abusive working environment has a subjective and objective component; the plaintiff must show both that he or she subjectively perceived the harassment to </w:t>
      </w:r>
      <w:r>
        <w:rPr>
          <w:rFonts w:ascii="Arial" w:eastAsia="Arial" w:hAnsi="Arial" w:cs="Arial"/>
          <w:color w:val="000000"/>
        </w:rPr>
        <w:t>be sufficiently severe or pervasive to violate both federal and state statutes and that from an objective point of view his or her perception was reasonable.</w:t>
      </w:r>
      <w:r>
        <w:rPr>
          <w:rFonts w:ascii="Arial" w:eastAsia="Arial" w:hAnsi="Arial" w:cs="Arial"/>
          <w:vertAlign w:val="superscript"/>
        </w:rPr>
        <w:footnoteReference w:customMarkFollows="1" w:id="172"/>
        <w:t>n9</w:t>
      </w:r>
      <w:r>
        <w:rPr>
          <w:rFonts w:ascii="Arial" w:eastAsia="Arial" w:hAnsi="Arial" w:cs="Arial"/>
          <w:color w:val="000000"/>
        </w:rPr>
        <w:t xml:space="preserve"> In addition, in determining whether sexual harassment is sufficiently severe or pervasive to sup</w:t>
      </w:r>
      <w:r>
        <w:rPr>
          <w:rFonts w:ascii="Arial" w:eastAsia="Arial" w:hAnsi="Arial" w:cs="Arial"/>
          <w:color w:val="000000"/>
        </w:rPr>
        <w:t>port a hostile-work-environment claim, the court must look at the totality of the course of conduct and not micro-bites of behavior in isolation.</w:t>
      </w:r>
      <w:r>
        <w:rPr>
          <w:rFonts w:ascii="Arial" w:eastAsia="Arial" w:hAnsi="Arial" w:cs="Arial"/>
          <w:vertAlign w:val="superscript"/>
        </w:rPr>
        <w:footnoteReference w:customMarkFollows="1" w:id="173"/>
        <w:t>n10</w:t>
      </w:r>
      <w:r>
        <w:rPr>
          <w:rFonts w:ascii="Arial" w:eastAsia="Arial" w:hAnsi="Arial" w:cs="Arial"/>
          <w:color w:val="000000"/>
        </w:rPr>
        <w:t xml:space="preserve"> To establish a hostile work environment in a sexual harassment case, the plaintiff must prove: (1) that he </w:t>
      </w:r>
      <w:r>
        <w:rPr>
          <w:rFonts w:ascii="Arial" w:eastAsia="Arial" w:hAnsi="Arial" w:cs="Arial"/>
          <w:color w:val="000000"/>
        </w:rPr>
        <w:t>or she belongs to a protected group, (2) that the employee was subjected to unwelcome sexual harassment, such as sexual advances, requests for sexual favors, and other conduct of a sexual nature, (3) that the harassment was based on the sex of the employee</w:t>
      </w:r>
      <w:r>
        <w:rPr>
          <w:rFonts w:ascii="Arial" w:eastAsia="Arial" w:hAnsi="Arial" w:cs="Arial"/>
          <w:color w:val="000000"/>
        </w:rPr>
        <w:t>, (4) that the harassment was sufficiently severe or pervasive to alter the terms and conditions of employment and create a discriminatorily abusive working environment, and (5) a basis for holding the employer liable.</w:t>
      </w:r>
      <w:r>
        <w:rPr>
          <w:rFonts w:ascii="Arial" w:eastAsia="Arial" w:hAnsi="Arial" w:cs="Arial"/>
          <w:vertAlign w:val="superscript"/>
        </w:rPr>
        <w:footnoteReference w:customMarkFollows="1" w:id="174"/>
        <w:t>n11</w:t>
      </w:r>
      <w:r>
        <w:rPr>
          <w:rFonts w:ascii="Arial" w:eastAsia="Arial" w:hAnsi="Arial" w:cs="Arial"/>
          <w:color w:val="000000"/>
        </w:rPr>
        <w:t xml:space="preserve"> To be actionable as creating a hos</w:t>
      </w:r>
      <w:r>
        <w:rPr>
          <w:rFonts w:ascii="Arial" w:eastAsia="Arial" w:hAnsi="Arial" w:cs="Arial"/>
          <w:color w:val="000000"/>
        </w:rPr>
        <w:t>tile work environment, the sexual harassment need not seriously affect an employee's psychological well-being or lead him or her to suffer injury.</w:t>
      </w:r>
      <w:r>
        <w:rPr>
          <w:rFonts w:ascii="Arial" w:eastAsia="Arial" w:hAnsi="Arial" w:cs="Arial"/>
          <w:vertAlign w:val="superscript"/>
        </w:rPr>
        <w:footnoteReference w:customMarkFollows="1" w:id="175"/>
        <w:t>n12</w:t>
      </w:r>
      <w:r>
        <w:rPr>
          <w:rFonts w:ascii="Arial" w:eastAsia="Arial" w:hAnsi="Arial" w:cs="Arial"/>
          <w:color w:val="000000"/>
        </w:rPr>
        <w:t xml:space="preserve"> In addition, although sexually explicit remarks and actions of a supervisor are not specifically directed </w:t>
      </w:r>
      <w:r>
        <w:rPr>
          <w:rFonts w:ascii="Arial" w:eastAsia="Arial" w:hAnsi="Arial" w:cs="Arial"/>
          <w:color w:val="000000"/>
        </w:rPr>
        <w:t>toward an employee, the remarks could support the employee's claim of hostile work environment if the evidence demonstrates how pervasive the harassment was and how the employee was essentially swept up in its backwash.</w:t>
      </w:r>
      <w:r>
        <w:rPr>
          <w:rFonts w:ascii="Arial" w:eastAsia="Arial" w:hAnsi="Arial" w:cs="Arial"/>
          <w:vertAlign w:val="superscript"/>
        </w:rPr>
        <w:footnoteReference w:customMarkFollows="1" w:id="176"/>
        <w:t>n13</w:t>
      </w:r>
    </w:p>
    <w:p w:rsidR="007A6EB4" w:rsidRDefault="006F3363">
      <w:pPr>
        <w:spacing w:before="200" w:line="300" w:lineRule="atLeast"/>
        <w:jc w:val="both"/>
      </w:pPr>
      <w:r>
        <w:rPr>
          <w:rFonts w:ascii="Arial" w:eastAsia="Arial" w:hAnsi="Arial" w:cs="Arial"/>
          <w:color w:val="000000"/>
        </w:rPr>
        <w:t>Both sexual conduct and nonsexual</w:t>
      </w:r>
      <w:r>
        <w:rPr>
          <w:rFonts w:ascii="Arial" w:eastAsia="Arial" w:hAnsi="Arial" w:cs="Arial"/>
          <w:color w:val="000000"/>
        </w:rPr>
        <w:t xml:space="preserve"> conduct can be construed as conduct that constitutes sexual harassment.</w:t>
      </w:r>
      <w:r>
        <w:rPr>
          <w:rFonts w:ascii="Arial" w:eastAsia="Arial" w:hAnsi="Arial" w:cs="Arial"/>
          <w:vertAlign w:val="superscript"/>
        </w:rPr>
        <w:footnoteReference w:customMarkFollows="1" w:id="177"/>
        <w:t>n14</w:t>
      </w:r>
      <w:r>
        <w:rPr>
          <w:rFonts w:ascii="Arial" w:eastAsia="Arial" w:hAnsi="Arial" w:cs="Arial"/>
          <w:color w:val="000000"/>
        </w:rPr>
        <w:t xml:space="preserve"> Simple teasing, offhand comments, and isolated incidents (unless extremely serious) will not amount to discriminatory changes in the terms and conditions of </w:t>
      </w:r>
      <w:r>
        <w:rPr>
          <w:rFonts w:ascii="Arial" w:eastAsia="Arial" w:hAnsi="Arial" w:cs="Arial"/>
          <w:color w:val="000000"/>
        </w:rPr>
        <w:lastRenderedPageBreak/>
        <w:t>employment for purposes</w:t>
      </w:r>
      <w:r>
        <w:rPr>
          <w:rFonts w:ascii="Arial" w:eastAsia="Arial" w:hAnsi="Arial" w:cs="Arial"/>
          <w:color w:val="000000"/>
        </w:rPr>
        <w:t xml:space="preserve"> of a sexual harassment claim.</w:t>
      </w:r>
      <w:r>
        <w:rPr>
          <w:rFonts w:ascii="Arial" w:eastAsia="Arial" w:hAnsi="Arial" w:cs="Arial"/>
          <w:vertAlign w:val="superscript"/>
        </w:rPr>
        <w:footnoteReference w:customMarkFollows="1" w:id="178"/>
        <w:t>n15</w:t>
      </w:r>
      <w:r>
        <w:rPr>
          <w:rFonts w:ascii="Arial" w:eastAsia="Arial" w:hAnsi="Arial" w:cs="Arial"/>
          <w:color w:val="000000"/>
        </w:rPr>
        <w:t xml:space="preserve"> In addition, all offensive conduct is not required to include sexual overtures, for purposes of establishing a hostile work environment due to sexual harassment, if the behavior is motivated by hostility toward a plaintiff</w:t>
      </w:r>
      <w:r>
        <w:rPr>
          <w:rFonts w:ascii="Arial" w:eastAsia="Arial" w:hAnsi="Arial" w:cs="Arial"/>
          <w:color w:val="000000"/>
        </w:rPr>
        <w:t xml:space="preserve"> because of his or her gender.</w:t>
      </w:r>
      <w:r>
        <w:rPr>
          <w:rFonts w:ascii="Arial" w:eastAsia="Arial" w:hAnsi="Arial" w:cs="Arial"/>
          <w:vertAlign w:val="superscript"/>
        </w:rPr>
        <w:footnoteReference w:customMarkFollows="1" w:id="179"/>
        <w:t>n16</w:t>
      </w:r>
      <w:r>
        <w:rPr>
          <w:rFonts w:ascii="Arial" w:eastAsia="Arial" w:hAnsi="Arial" w:cs="Arial"/>
          <w:color w:val="000000"/>
        </w:rPr>
        <w:t xml:space="preserve"> However, only one instance of physically harassing conduct, if extreme, can constitute a hostile work environment.</w:t>
      </w:r>
      <w:r>
        <w:rPr>
          <w:rFonts w:ascii="Arial" w:eastAsia="Arial" w:hAnsi="Arial" w:cs="Arial"/>
          <w:vertAlign w:val="superscript"/>
        </w:rPr>
        <w:footnoteReference w:customMarkFollows="1" w:id="180"/>
        <w:t>n17</w:t>
      </w:r>
    </w:p>
    <w:p w:rsidR="007A6EB4" w:rsidRDefault="006F3363">
      <w:pPr>
        <w:spacing w:before="200" w:line="300" w:lineRule="atLeast"/>
        <w:jc w:val="both"/>
      </w:pPr>
      <w:r>
        <w:rPr>
          <w:rFonts w:ascii="Arial" w:eastAsia="Arial" w:hAnsi="Arial" w:cs="Arial"/>
          <w:color w:val="000000"/>
        </w:rPr>
        <w:t>Observation: The provision of the Florida Civil Rights Act that prohibits sexual harassment based on gen</w:t>
      </w:r>
      <w:r>
        <w:rPr>
          <w:rFonts w:ascii="Arial" w:eastAsia="Arial" w:hAnsi="Arial" w:cs="Arial"/>
          <w:color w:val="000000"/>
        </w:rPr>
        <w:t>der</w:t>
      </w:r>
      <w:r>
        <w:rPr>
          <w:rFonts w:ascii="Arial" w:eastAsia="Arial" w:hAnsi="Arial" w:cs="Arial"/>
          <w:vertAlign w:val="superscript"/>
        </w:rPr>
        <w:footnoteReference w:customMarkFollows="1" w:id="181"/>
        <w:t>n18</w:t>
      </w:r>
      <w:r>
        <w:rPr>
          <w:rFonts w:ascii="Arial" w:eastAsia="Arial" w:hAnsi="Arial" w:cs="Arial"/>
          <w:color w:val="000000"/>
        </w:rPr>
        <w:t xml:space="preserve"> is a remedial statute that should be liberally, not strictly, construed.</w:t>
      </w:r>
      <w:r>
        <w:rPr>
          <w:rFonts w:ascii="Arial" w:eastAsia="Arial" w:hAnsi="Arial" w:cs="Arial"/>
          <w:vertAlign w:val="superscript"/>
        </w:rPr>
        <w:footnoteReference w:customMarkFollows="1" w:id="182"/>
        <w:t>n19</w:t>
      </w:r>
    </w:p>
    <w:p w:rsidR="007A6EB4" w:rsidRDefault="006F3363">
      <w:pPr>
        <w:spacing w:before="200" w:line="300" w:lineRule="atLeast"/>
        <w:jc w:val="both"/>
      </w:pPr>
      <w:r>
        <w:rPr>
          <w:rFonts w:ascii="Arial" w:eastAsia="Arial" w:hAnsi="Arial" w:cs="Arial"/>
          <w:color w:val="000000"/>
        </w:rPr>
        <w:t>It has been held that under Florida law, as predicted by a federal district court, the Florida Civil Rights Act does not prohibit pregnancy discrimination.</w:t>
      </w:r>
      <w:r>
        <w:rPr>
          <w:rFonts w:ascii="Arial" w:eastAsia="Arial" w:hAnsi="Arial" w:cs="Arial"/>
          <w:vertAlign w:val="superscript"/>
        </w:rPr>
        <w:footnoteReference w:customMarkFollows="1" w:id="183"/>
        <w:t>n20</w:t>
      </w:r>
      <w:r>
        <w:rPr>
          <w:rFonts w:ascii="Arial" w:eastAsia="Arial" w:hAnsi="Arial" w:cs="Arial"/>
          <w:color w:val="000000"/>
        </w:rPr>
        <w:t xml:space="preserve"> Florida courts</w:t>
      </w:r>
      <w:r>
        <w:rPr>
          <w:rFonts w:ascii="Arial" w:eastAsia="Arial" w:hAnsi="Arial" w:cs="Arial"/>
          <w:color w:val="000000"/>
        </w:rPr>
        <w:t xml:space="preserve"> have held that the proscription of certain employment practices by employers, employment agencies, labor organizations, and joint labor-management committees is preempted by federal law regulating discriminatory employment practices</w:t>
      </w:r>
      <w:r>
        <w:rPr>
          <w:rFonts w:ascii="Arial" w:eastAsia="Arial" w:hAnsi="Arial" w:cs="Arial"/>
          <w:vertAlign w:val="superscript"/>
        </w:rPr>
        <w:footnoteReference w:customMarkFollows="1" w:id="184"/>
        <w:t>n21</w:t>
      </w:r>
      <w:r>
        <w:rPr>
          <w:rFonts w:ascii="Arial" w:eastAsia="Arial" w:hAnsi="Arial" w:cs="Arial"/>
          <w:color w:val="000000"/>
        </w:rPr>
        <w:t xml:space="preserve"> to the extent that </w:t>
      </w:r>
      <w:r>
        <w:rPr>
          <w:rFonts w:ascii="Arial" w:eastAsia="Arial" w:hAnsi="Arial" w:cs="Arial"/>
          <w:color w:val="000000"/>
        </w:rPr>
        <w:t>Florida's law offers less protection to its citizens than does the corresponding federal law; thus, Florida law was held to be preempted to the extent that it did not recognize that discrimination against pregnant employees is sex-based discrimination.</w:t>
      </w:r>
      <w:r>
        <w:rPr>
          <w:rFonts w:ascii="Arial" w:eastAsia="Arial" w:hAnsi="Arial" w:cs="Arial"/>
          <w:vertAlign w:val="superscript"/>
        </w:rPr>
        <w:footnoteReference w:customMarkFollows="1" w:id="185"/>
        <w:t>n22</w:t>
      </w:r>
      <w:r>
        <w:rPr>
          <w:rFonts w:ascii="Arial" w:eastAsia="Arial" w:hAnsi="Arial" w:cs="Arial"/>
          <w:color w:val="000000"/>
        </w:rPr>
        <w:t xml:space="preserve"> </w:t>
      </w:r>
      <w:r>
        <w:rPr>
          <w:rFonts w:ascii="Arial" w:eastAsia="Arial" w:hAnsi="Arial" w:cs="Arial"/>
          <w:color w:val="000000"/>
        </w:rPr>
        <w:t>However, a federal court has concluded that the Florida Civil Rights Act did not conflict with or undermine Title VII so as to be preempted even though, unlike Title VII, the Act did not provide a cause of action for pregnancy discrimination; the court con</w:t>
      </w:r>
      <w:r>
        <w:rPr>
          <w:rFonts w:ascii="Arial" w:eastAsia="Arial" w:hAnsi="Arial" w:cs="Arial"/>
          <w:color w:val="000000"/>
        </w:rPr>
        <w:t>cluded that although Title VII, as amended by the Pregnancy Discrimination Act, was broader in its protections than the Florida Civil Rights Act, Title VII was not undercut or diminished by the existence of its lesser protections.</w:t>
      </w:r>
      <w:r>
        <w:rPr>
          <w:rFonts w:ascii="Arial" w:eastAsia="Arial" w:hAnsi="Arial" w:cs="Arial"/>
          <w:vertAlign w:val="superscript"/>
        </w:rPr>
        <w:footnoteReference w:customMarkFollows="1" w:id="186"/>
        <w:t>n23</w:t>
      </w:r>
      <w:r>
        <w:rPr>
          <w:rFonts w:ascii="Arial" w:eastAsia="Arial" w:hAnsi="Arial" w:cs="Arial"/>
          <w:color w:val="000000"/>
        </w:rPr>
        <w:t xml:space="preserve"> Also, a subsequent Flo</w:t>
      </w:r>
      <w:r>
        <w:rPr>
          <w:rFonts w:ascii="Arial" w:eastAsia="Arial" w:hAnsi="Arial" w:cs="Arial"/>
          <w:color w:val="000000"/>
        </w:rPr>
        <w:t>rida case has held that sex discrimination based on pregnancy is included within the Florida statute.</w:t>
      </w:r>
      <w:r>
        <w:rPr>
          <w:rFonts w:ascii="Arial" w:eastAsia="Arial" w:hAnsi="Arial" w:cs="Arial"/>
          <w:vertAlign w:val="superscript"/>
        </w:rPr>
        <w:footnoteReference w:customMarkFollows="1" w:id="187"/>
        <w:t>n24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50" style="position:absolute;z-index:25177190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lastRenderedPageBreak/>
        <w:t xml:space="preserve">West's Key Number Digest, Civil Rights [westkey]1009 to 1016, 1019(3), 1019(5), 1024, 1104, 1107, 1111, 1113 to 1116, 1136 to 1138, </w:t>
      </w:r>
      <w:r>
        <w:rPr>
          <w:rFonts w:ascii="Arial" w:eastAsia="Arial" w:hAnsi="Arial" w:cs="Arial"/>
          <w:color w:val="000000"/>
        </w:rPr>
        <w:t>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 xml:space="preserve">West's </w:t>
      </w:r>
      <w:r>
        <w:rPr>
          <w:rFonts w:ascii="Arial" w:eastAsia="Arial" w:hAnsi="Arial" w:cs="Arial"/>
          <w:color w:val="000000"/>
        </w:rPr>
        <w:t>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w:t>
      </w:r>
      <w:r>
        <w:rPr>
          <w:rFonts w:ascii="Arial" w:eastAsia="Arial" w:hAnsi="Arial" w:cs="Arial"/>
          <w:color w:val="000000"/>
        </w:rPr>
        <w:t>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w:t>
      </w:r>
      <w:r>
        <w:rPr>
          <w:rFonts w:ascii="Arial" w:eastAsia="Arial" w:hAnsi="Arial" w:cs="Arial"/>
          <w:color w:val="000000"/>
        </w:rPr>
        <w:t xml:space="preserve">st, Civil Rights [westkey]1009 to 1016, 1019(3), 1019(5), 1024, 1104, 1107, 1111, 1113 to 1116, 1136 to 1138, 1140, 1141, 1164 to 1190, 1196, 1206, 1207, 1216 to 1218, 1225(1) to 1225(3), 1242 to 1245, 1261, 1262, 1536, 1544, 1545, 1553, 1703, 1704, 1710, </w:t>
      </w:r>
      <w:r>
        <w:rPr>
          <w:rFonts w:ascii="Arial" w:eastAsia="Arial" w:hAnsi="Arial" w:cs="Arial"/>
          <w:color w:val="000000"/>
        </w:rPr>
        <w:t>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w:t>
      </w:r>
      <w:r>
        <w:rPr>
          <w:rFonts w:ascii="Arial" w:eastAsia="Arial" w:hAnsi="Arial" w:cs="Arial"/>
          <w:color w:val="000000"/>
        </w:rPr>
        <w: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w:t>
      </w:r>
      <w:r>
        <w:rPr>
          <w:rFonts w:ascii="Arial" w:eastAsia="Arial" w:hAnsi="Arial" w:cs="Arial"/>
          <w:color w:val="000000"/>
        </w:rPr>
        <w:t>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w:t>
      </w:r>
      <w:r>
        <w:rPr>
          <w:rFonts w:ascii="Arial" w:eastAsia="Arial" w:hAnsi="Arial" w:cs="Arial"/>
          <w:color w:val="000000"/>
        </w:rPr>
        <w:t>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w:t>
      </w:r>
      <w:r>
        <w:rPr>
          <w:rFonts w:ascii="Arial" w:eastAsia="Arial" w:hAnsi="Arial" w:cs="Arial"/>
          <w:color w:val="000000"/>
        </w:rPr>
        <w:t>ties Act, 48 Am. Jur. Proof of Facts 3d 1</w:t>
      </w:r>
    </w:p>
    <w:p w:rsidR="007A6EB4" w:rsidRDefault="006F3363">
      <w:pPr>
        <w:spacing w:before="120" w:line="300" w:lineRule="atLeast"/>
      </w:pPr>
      <w:r>
        <w:rPr>
          <w:rFonts w:ascii="Arial" w:eastAsia="Arial" w:hAnsi="Arial" w:cs="Arial"/>
          <w:color w:val="000000"/>
        </w:rPr>
        <w:lastRenderedPageBreak/>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w:t>
      </w:r>
      <w:r>
        <w:rPr>
          <w:rFonts w:ascii="Arial" w:eastAsia="Arial" w:hAnsi="Arial" w:cs="Arial"/>
          <w:color w:val="000000"/>
        </w:rPr>
        <w:t>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w:t>
      </w:r>
      <w:r>
        <w:rPr>
          <w:rFonts w:ascii="Arial" w:eastAsia="Arial" w:hAnsi="Arial" w:cs="Arial"/>
          <w:color w:val="000000"/>
        </w:rPr>
        <w:t xml:space="preserve">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w:t>
      </w:r>
      <w:r>
        <w:rPr>
          <w:rFonts w:ascii="Arial" w:eastAsia="Arial" w:hAnsi="Arial" w:cs="Arial"/>
          <w:color w:val="000000"/>
        </w:rPr>
        <w:t>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w:t>
      </w:r>
      <w:r>
        <w:rPr>
          <w:rFonts w:ascii="Arial" w:eastAsia="Arial" w:hAnsi="Arial" w:cs="Arial"/>
          <w:color w:val="000000"/>
        </w:rPr>
        <w:t>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 xml:space="preserve">West's Key Number </w:t>
      </w:r>
      <w:r>
        <w:rPr>
          <w:rFonts w:ascii="Arial" w:eastAsia="Arial" w:hAnsi="Arial" w:cs="Arial"/>
          <w:color w:val="000000"/>
        </w:rPr>
        <w:t>Digest, Civil Rights [westkey]1164 to 1190</w:t>
      </w:r>
    </w:p>
    <w:p w:rsidR="007A6EB4" w:rsidRDefault="006F3363">
      <w:pPr>
        <w:spacing w:before="120" w:line="300" w:lineRule="atLeast"/>
      </w:pPr>
      <w:r>
        <w:rPr>
          <w:rFonts w:ascii="Arial" w:eastAsia="Arial" w:hAnsi="Arial" w:cs="Arial"/>
          <w:color w:val="000000"/>
        </w:rPr>
        <w:t>Liability of Employer, Supervisor, or Manager for Intentionally or Recklessly Causing Employee Emotional Distress -- Sexual Harassment, Sexual Discrimination, or Accusations Concerning Sexual Conduct or Orientatio</w:t>
      </w:r>
      <w:r>
        <w:rPr>
          <w:rFonts w:ascii="Arial" w:eastAsia="Arial" w:hAnsi="Arial" w:cs="Arial"/>
          <w:color w:val="000000"/>
        </w:rPr>
        <w:t>n, 20 A.L.R.6th 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Lambrose, Getting Back to Sex: The Need to Refine Current Anti-Discrimination Statutes to Include Al</w:t>
      </w:r>
      <w:r>
        <w:rPr>
          <w:rFonts w:ascii="Arial" w:eastAsia="Arial" w:hAnsi="Arial" w:cs="Arial"/>
          <w:color w:val="000000"/>
        </w:rPr>
        <w:t>l Sexual Minorities, 39 Stetson L. Rev. 925 (2010)</w:t>
      </w:r>
    </w:p>
    <w:p w:rsidR="007A6EB4" w:rsidRDefault="006F3363">
      <w:pPr>
        <w:spacing w:before="120" w:line="300" w:lineRule="atLeast"/>
      </w:pPr>
      <w:r>
        <w:rPr>
          <w:rFonts w:ascii="Arial" w:eastAsia="Arial" w:hAnsi="Arial" w:cs="Arial"/>
          <w:color w:val="000000"/>
        </w:rPr>
        <w:t>Walker, Little to Be Gay About: Few Protections in Florida Against Discrimination Based Upon Sexual Orientation, 32 Nova L. Rev. 633 (2008)</w:t>
      </w:r>
    </w:p>
    <w:p w:rsidR="007A6EB4" w:rsidRDefault="006F3363">
      <w:pPr>
        <w:spacing w:before="120" w:line="300" w:lineRule="atLeast"/>
      </w:pPr>
      <w:r>
        <w:rPr>
          <w:rFonts w:ascii="Arial" w:eastAsia="Arial" w:hAnsi="Arial" w:cs="Arial"/>
          <w:color w:val="000000"/>
        </w:rPr>
        <w:t>Tan, When Steve is Fired for Becoming Susan: Why Courts and Legis</w:t>
      </w:r>
      <w:r>
        <w:rPr>
          <w:rFonts w:ascii="Arial" w:eastAsia="Arial" w:hAnsi="Arial" w:cs="Arial"/>
          <w:color w:val="000000"/>
        </w:rPr>
        <w:t>lators Need to Protect Transgender Employees From Discrimination, 37 Stetson L. Rev. 579 (2008)</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51" style="position:absolute;z-index:25181798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lastRenderedPageBreak/>
        <w:t xml:space="preserve">Former employee established prima facie case of pregnancy discrimination in violation of Title VII and the Florida Civil Rights Act </w:t>
      </w:r>
      <w:r>
        <w:rPr>
          <w:rFonts w:ascii="Arial" w:eastAsia="Arial" w:hAnsi="Arial" w:cs="Arial"/>
          <w:color w:val="000000"/>
        </w:rPr>
        <w:t>(FCRA); employee was qualified for her position as executive assistant, and employer knew employee was pregnant and terminated her while she was on maternity leave while other executive assistants who were not pregnant were not terminated. Civil Rights Act</w:t>
      </w:r>
      <w:r>
        <w:rPr>
          <w:rFonts w:ascii="Arial" w:eastAsia="Arial" w:hAnsi="Arial" w:cs="Arial"/>
          <w:color w:val="000000"/>
        </w:rPr>
        <w:t xml:space="preserve"> of 1964, § 701(k), 42 U.S.C.A. § 2000e(k); West's F.S.A. § 760.10(1)(a). Wright v. Sandestin Investments, LLC, 914 F. Supp. 2d 1273 (N.D. Fla. 2012).</w:t>
      </w:r>
    </w:p>
    <w:p w:rsidR="007A6EB4" w:rsidRDefault="006F3363">
      <w:pPr>
        <w:spacing w:before="200" w:line="300" w:lineRule="atLeast"/>
        <w:jc w:val="both"/>
      </w:pPr>
      <w:r>
        <w:rPr>
          <w:rFonts w:ascii="Arial" w:eastAsia="Arial" w:hAnsi="Arial" w:cs="Arial"/>
          <w:color w:val="000000"/>
        </w:rPr>
        <w:t xml:space="preserve">A prima facie case of pregnancy discrimination in violation of Title VII or the Florida Civil Rights Act </w:t>
      </w:r>
      <w:r>
        <w:rPr>
          <w:rFonts w:ascii="Arial" w:eastAsia="Arial" w:hAnsi="Arial" w:cs="Arial"/>
          <w:color w:val="000000"/>
        </w:rPr>
        <w:t>(FCRA) is established if the plaintiff shows she was a member of the protected class, she was qualified for her position, she suffered an adverse employment action, and work or disciplinary rules were applied differently to her than to nonpregnant employee</w:t>
      </w:r>
      <w:r>
        <w:rPr>
          <w:rFonts w:ascii="Arial" w:eastAsia="Arial" w:hAnsi="Arial" w:cs="Arial"/>
          <w:color w:val="000000"/>
        </w:rPr>
        <w:t>s. Civil Rights Act of 1964, § 701(k), 42 U.S.C.A. § 2000e(k); West's F.S.A. § 760.10(1)(a). Wright v. Sandestin Investments, LLC, 914 F. Supp. 2d 1273 (N.D. Fla. 2012).</w:t>
      </w:r>
    </w:p>
    <w:p w:rsidR="007A6EB4" w:rsidRDefault="006F3363">
      <w:pPr>
        <w:spacing w:before="200" w:line="300" w:lineRule="atLeast"/>
        <w:jc w:val="both"/>
      </w:pPr>
      <w:r>
        <w:rPr>
          <w:rFonts w:ascii="Arial" w:eastAsia="Arial" w:hAnsi="Arial" w:cs="Arial"/>
          <w:color w:val="000000"/>
        </w:rPr>
        <w:t xml:space="preserve">Termination of pregnant state employee one week after her suspected theft of </w:t>
      </w:r>
      <w:r>
        <w:rPr>
          <w:rFonts w:ascii="Arial" w:eastAsia="Arial" w:hAnsi="Arial" w:cs="Arial"/>
          <w:color w:val="000000"/>
        </w:rPr>
        <w:t>state property did not give rise to inference of discriminatory intent, and thus employee failed to establish prima facie case of pregnancy discrimination under Title VII, as amended by the Pregnancy Discrimination Act, and the Florida Civil Rights Act (FC</w:t>
      </w:r>
      <w:r>
        <w:rPr>
          <w:rFonts w:ascii="Arial" w:eastAsia="Arial" w:hAnsi="Arial" w:cs="Arial"/>
          <w:color w:val="000000"/>
        </w:rPr>
        <w:t>RA); employee unnecessarily took large quantity of office supplies without explanation, supervisor's apparent frustration with employee was attributable to employee's reluctance to share personal details rather than to employee's pregnancy, employee was aw</w:t>
      </w:r>
      <w:r>
        <w:rPr>
          <w:rFonts w:ascii="Arial" w:eastAsia="Arial" w:hAnsi="Arial" w:cs="Arial"/>
          <w:color w:val="000000"/>
        </w:rPr>
        <w:t>are of job demands when she applied for it, those demands were an issue for her prior to her pregnancy, and once employee became pregnant she was permitted to work more slowly with supervisor's help. Civil Rights Act of 1964 § 703, 42 U.S.C.A. § 2000e-2(a)</w:t>
      </w:r>
      <w:r>
        <w:rPr>
          <w:rFonts w:ascii="Arial" w:eastAsia="Arial" w:hAnsi="Arial" w:cs="Arial"/>
          <w:color w:val="000000"/>
        </w:rPr>
        <w:t>(1); Fla. Stat. Ann. § 760.10(1)(a). Diaz v. Florida, 219 F. Supp. 3d 1207 (S.D. Fla. 2016).</w:t>
      </w:r>
    </w:p>
    <w:p w:rsidR="007A6EB4" w:rsidRDefault="006F3363">
      <w:pPr>
        <w:spacing w:before="200" w:line="300" w:lineRule="atLeast"/>
        <w:jc w:val="both"/>
      </w:pPr>
      <w:r>
        <w:rPr>
          <w:rFonts w:ascii="Arial" w:eastAsia="Arial" w:hAnsi="Arial" w:cs="Arial"/>
          <w:color w:val="000000"/>
        </w:rPr>
        <w:t>The Florida Civil Rights Act (FCRA), which makes it an unlawful employment practice for an employer to discriminate because of an individual's sex, does not prohib</w:t>
      </w:r>
      <w:r>
        <w:rPr>
          <w:rFonts w:ascii="Arial" w:eastAsia="Arial" w:hAnsi="Arial" w:cs="Arial"/>
          <w:color w:val="000000"/>
        </w:rPr>
        <w:t>it discrimination in employment on the basis of pregnancy. West's F.S.A. § 760.10. Delva v. Continental Group, Inc., 96 So. 3d 956 (Fla. 3d DCA 2012).</w:t>
      </w:r>
    </w:p>
    <w:p w:rsidR="007A6EB4" w:rsidRDefault="006F3363">
      <w:pPr>
        <w:spacing w:before="200" w:line="300" w:lineRule="atLeast"/>
        <w:jc w:val="both"/>
      </w:pPr>
      <w:r>
        <w:rPr>
          <w:rFonts w:ascii="Arial" w:eastAsia="Arial" w:hAnsi="Arial" w:cs="Arial"/>
          <w:color w:val="000000"/>
        </w:rPr>
        <w:t>Employee's supervisor's conduct toward employee could not reasonably have led to a hostile work environme</w:t>
      </w:r>
      <w:r>
        <w:rPr>
          <w:rFonts w:ascii="Arial" w:eastAsia="Arial" w:hAnsi="Arial" w:cs="Arial"/>
          <w:color w:val="000000"/>
        </w:rPr>
        <w:t>nt, as required to support a claim for sexual harassment and retaliation, because, since supervisor never made any sexual advances to employee, or in any other way obstructed employee's ability to perform her job, no reasonable person in employee's positio</w:t>
      </w:r>
      <w:r>
        <w:rPr>
          <w:rFonts w:ascii="Arial" w:eastAsia="Arial" w:hAnsi="Arial" w:cs="Arial"/>
          <w:color w:val="000000"/>
        </w:rPr>
        <w:t>n would have considered supervisor's conduct so severe or abusive that it interfered with employment. West's F.S.A. §§ 509.092, 760.01 et seq. Grogan v. Heritage NH, LLC, 126 So. 3d 262 (Fla. 3d DCA 2010).</w:t>
      </w:r>
    </w:p>
    <w:p w:rsidR="007A6EB4" w:rsidRDefault="006F3363">
      <w:pPr>
        <w:spacing w:before="200" w:line="300" w:lineRule="atLeast"/>
        <w:jc w:val="both"/>
      </w:pPr>
      <w:r>
        <w:rPr>
          <w:rFonts w:ascii="Arial" w:eastAsia="Arial" w:hAnsi="Arial" w:cs="Arial"/>
          <w:color w:val="000000"/>
        </w:rPr>
        <w:t>Claims by female who identified as a gender non-co</w:t>
      </w:r>
      <w:r>
        <w:rPr>
          <w:rFonts w:ascii="Arial" w:eastAsia="Arial" w:hAnsi="Arial" w:cs="Arial"/>
          <w:color w:val="000000"/>
        </w:rPr>
        <w:t xml:space="preserve">nforming female homosexual, that employer's discriminatory actions were related to her gender non-conforming status, rather than her sexual orientation, were sufficient to allege sex discrimination, as required to state claims for hostile work environment </w:t>
      </w:r>
      <w:r>
        <w:rPr>
          <w:rFonts w:ascii="Arial" w:eastAsia="Arial" w:hAnsi="Arial" w:cs="Arial"/>
          <w:color w:val="000000"/>
        </w:rPr>
        <w:t>and disparate treatment under the Florida Civil Rights Act (FCRA). West's F.S.A. § 760.10(1)(a). Arnold v. Heartland Dental, LLC, 101 F. Supp. 3d 1220 (M.D. Fla. 2015) (applying Florida law).</w:t>
      </w:r>
    </w:p>
    <w:p w:rsidR="007A6EB4" w:rsidRDefault="006F3363">
      <w:pPr>
        <w:spacing w:before="200" w:line="300" w:lineRule="atLeast"/>
        <w:jc w:val="both"/>
      </w:pPr>
      <w:r>
        <w:rPr>
          <w:rFonts w:ascii="Arial" w:eastAsia="Arial" w:hAnsi="Arial" w:cs="Arial"/>
          <w:color w:val="000000"/>
        </w:rPr>
        <w:lastRenderedPageBreak/>
        <w:t>Under Florida law, as predicted by the District Court, discrimin</w:t>
      </w:r>
      <w:r>
        <w:rPr>
          <w:rFonts w:ascii="Arial" w:eastAsia="Arial" w:hAnsi="Arial" w:cs="Arial"/>
          <w:color w:val="000000"/>
        </w:rPr>
        <w:t>ation based on pregnancy is an unlawful employment practice under the Florida Civil Rights Act (FCRA); a plain reading of the phrase "to discharge or to fail or refuse to hire any individual, or otherwise discriminate against any individual because of such</w:t>
      </w:r>
      <w:r>
        <w:rPr>
          <w:rFonts w:ascii="Arial" w:eastAsia="Arial" w:hAnsi="Arial" w:cs="Arial"/>
          <w:color w:val="000000"/>
        </w:rPr>
        <w:t xml:space="preserve"> individual's sex" should be understood to ban discrimination against any individual because of such individual's reproductive functions. West's F.S.A. § 760.10. Glass v. Captain Katanna's, Inc., 950 F. Supp. 2d 1235 (M.D. Fla. 2013) (applying Florida law)</w:t>
      </w:r>
      <w:r>
        <w:rPr>
          <w:rFonts w:ascii="Arial" w:eastAsia="Arial" w:hAnsi="Arial" w:cs="Arial"/>
          <w:color w:val="000000"/>
        </w:rPr>
        <w:t>.</w:t>
      </w:r>
    </w:p>
    <w:p w:rsidR="007A6EB4" w:rsidRDefault="006F3363">
      <w:pPr>
        <w:spacing w:before="200" w:line="300" w:lineRule="atLeast"/>
        <w:jc w:val="both"/>
      </w:pPr>
      <w:r>
        <w:rPr>
          <w:rFonts w:ascii="Arial" w:eastAsia="Arial" w:hAnsi="Arial" w:cs="Arial"/>
          <w:color w:val="000000"/>
        </w:rPr>
        <w:t>Provision of Florida Civil Rights Act making it unlawful employment practice to discriminate based on sex prohibited discrimination due to pregnancy, since pregnancy was natural condition and primary characteristic unique only to female sex. West's F.S.A</w:t>
      </w:r>
      <w:r>
        <w:rPr>
          <w:rFonts w:ascii="Arial" w:eastAsia="Arial" w:hAnsi="Arial" w:cs="Arial"/>
          <w:color w:val="000000"/>
        </w:rPr>
        <w:t>. § 760.10(1)(a). Delva v. Continental Group, Inc., 137 So. 3d 371 (Fla. 2014).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52" style="position:absolute;left:0;text-align:left;z-index:25185996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39"/>
          <w:headerReference w:type="default" r:id="rId140"/>
          <w:footerReference w:type="even" r:id="rId141"/>
          <w:footerReference w:type="default" r:id="rId142"/>
          <w:headerReference w:type="first" r:id="rId143"/>
          <w:footerReference w:type="first" r:id="rId144"/>
          <w:pgSz w:w="12240" w:h="15840"/>
          <w:pgMar w:top="840" w:right="1000" w:bottom="840" w:left="1000" w:header="400" w:footer="400" w:gutter="0"/>
          <w:cols w:space="720"/>
          <w:titlePg/>
        </w:sectPr>
      </w:pPr>
    </w:p>
    <w:p w:rsidR="007A6EB4" w:rsidRDefault="007A6EB4">
      <w:bookmarkStart w:id="23" w:name="Bookmark_23"/>
      <w:bookmarkEnd w:id="23"/>
    </w:p>
    <w:p w:rsidR="007A6EB4" w:rsidRDefault="006F3363">
      <w:r>
        <w:pict>
          <v:shape id="_x0000_i1047"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22</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54" style="position:absolute;z-index:25168076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Rachel M. Kane, </w:t>
      </w:r>
      <w:r>
        <w:rPr>
          <w:rFonts w:ascii="Arial" w:eastAsia="Arial" w:hAnsi="Arial" w:cs="Arial"/>
          <w:color w:val="000000"/>
        </w:rPr>
        <w:t>M.A., J.D.</w:t>
      </w:r>
    </w:p>
    <w:p w:rsidR="007A6EB4" w:rsidRDefault="006F3363">
      <w:pPr>
        <w:keepNext/>
        <w:spacing w:before="240" w:line="340" w:lineRule="atLeast"/>
      </w:pPr>
      <w:r>
        <w:rPr>
          <w:rFonts w:ascii="Arial" w:eastAsia="Arial" w:hAnsi="Arial" w:cs="Arial"/>
          <w:b/>
          <w:color w:val="000000"/>
          <w:sz w:val="28"/>
        </w:rPr>
        <w:t>§ 22 Retaliatory discrimination</w:t>
      </w:r>
    </w:p>
    <w:p w:rsidR="007A6EB4" w:rsidRDefault="006F3363">
      <w:pPr>
        <w:spacing w:line="60" w:lineRule="exact"/>
      </w:pPr>
      <w:r>
        <w:pict>
          <v:line id="_x0000_s1155" style="position:absolute;z-index:25172684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Pursuant to the Florida Civil Rights Act, it is an unlawful employment practice for an employer, an employment agency, a joint labor-management committee, or a labor organization to discriminate against any per</w:t>
      </w:r>
      <w:r>
        <w:rPr>
          <w:rFonts w:ascii="Arial" w:eastAsia="Arial" w:hAnsi="Arial" w:cs="Arial"/>
          <w:color w:val="000000"/>
        </w:rPr>
        <w:t>son because that person has opposed any practice that is a statutorily unlawful employment practice or because that person has made a charge, testified, assisted, or participated in any manner in an unlawful employment practice investigation, proceeding, o</w:t>
      </w:r>
      <w:r>
        <w:rPr>
          <w:rFonts w:ascii="Arial" w:eastAsia="Arial" w:hAnsi="Arial" w:cs="Arial"/>
          <w:color w:val="000000"/>
        </w:rPr>
        <w:t>r hearing.</w:t>
      </w:r>
      <w:r>
        <w:rPr>
          <w:rFonts w:ascii="Arial" w:eastAsia="Arial" w:hAnsi="Arial" w:cs="Arial"/>
          <w:vertAlign w:val="superscript"/>
        </w:rPr>
        <w:footnoteReference w:customMarkFollows="1" w:id="188"/>
        <w:t>n1</w:t>
      </w:r>
      <w:r>
        <w:rPr>
          <w:rFonts w:ascii="Arial" w:eastAsia="Arial" w:hAnsi="Arial" w:cs="Arial"/>
          <w:color w:val="000000"/>
        </w:rPr>
        <w:t xml:space="preserve"> Thus, an employer may not retaliate against an employee because the employee has opposed any practice made an unlawful employment practice.</w:t>
      </w:r>
      <w:r>
        <w:rPr>
          <w:rFonts w:ascii="Arial" w:eastAsia="Arial" w:hAnsi="Arial" w:cs="Arial"/>
          <w:vertAlign w:val="superscript"/>
        </w:rPr>
        <w:footnoteReference w:customMarkFollows="1" w:id="189"/>
        <w:t>n2</w:t>
      </w:r>
      <w:r>
        <w:rPr>
          <w:rFonts w:ascii="Arial" w:eastAsia="Arial" w:hAnsi="Arial" w:cs="Arial"/>
          <w:color w:val="000000"/>
        </w:rPr>
        <w:t xml:space="preserve"> However, an employee's statement or communication cannot be deemed to be in opposition to an unlawful</w:t>
      </w:r>
      <w:r>
        <w:rPr>
          <w:rFonts w:ascii="Arial" w:eastAsia="Arial" w:hAnsi="Arial" w:cs="Arial"/>
          <w:color w:val="000000"/>
        </w:rPr>
        <w:t xml:space="preserve"> employment practice unless it refers to a specific practice of the employer that is allegedly unlawful for purposes of the Florida Civil Rights Act.</w:t>
      </w:r>
      <w:r>
        <w:rPr>
          <w:rFonts w:ascii="Arial" w:eastAsia="Arial" w:hAnsi="Arial" w:cs="Arial"/>
          <w:vertAlign w:val="superscript"/>
        </w:rPr>
        <w:footnoteReference w:customMarkFollows="1" w:id="190"/>
        <w:t>n3</w:t>
      </w:r>
      <w:r>
        <w:rPr>
          <w:rFonts w:ascii="Arial" w:eastAsia="Arial" w:hAnsi="Arial" w:cs="Arial"/>
          <w:color w:val="000000"/>
        </w:rPr>
        <w:t xml:space="preserve"> Opposition-clause claims brought by employees under the Florida Civil Rights Act usually involve activit</w:t>
      </w:r>
      <w:r>
        <w:rPr>
          <w:rFonts w:ascii="Arial" w:eastAsia="Arial" w:hAnsi="Arial" w:cs="Arial"/>
          <w:color w:val="000000"/>
        </w:rPr>
        <w:t>ies such as making complaints to management, writing critical letters to customers, protesting against discrimination by industry or by society in general, and expressing support of coworkers who have filed formal charges.</w:t>
      </w:r>
      <w:r>
        <w:rPr>
          <w:rFonts w:ascii="Arial" w:eastAsia="Arial" w:hAnsi="Arial" w:cs="Arial"/>
          <w:vertAlign w:val="superscript"/>
        </w:rPr>
        <w:footnoteReference w:customMarkFollows="1" w:id="191"/>
        <w:t>n4</w:t>
      </w:r>
      <w:r>
        <w:rPr>
          <w:rFonts w:ascii="Arial" w:eastAsia="Arial" w:hAnsi="Arial" w:cs="Arial"/>
          <w:color w:val="000000"/>
        </w:rPr>
        <w:t xml:space="preserve"> In addition, the participation clause protects proceedings and activities by employees that occur in conjunction with or after the filing of a formal charge with the Commission on Human Relations.</w:t>
      </w:r>
      <w:r>
        <w:rPr>
          <w:rFonts w:ascii="Arial" w:eastAsia="Arial" w:hAnsi="Arial" w:cs="Arial"/>
          <w:vertAlign w:val="superscript"/>
        </w:rPr>
        <w:footnoteReference w:customMarkFollows="1" w:id="192"/>
        <w:t>n5</w:t>
      </w:r>
      <w:r>
        <w:rPr>
          <w:rFonts w:ascii="Arial" w:eastAsia="Arial" w:hAnsi="Arial" w:cs="Arial"/>
          <w:color w:val="000000"/>
        </w:rPr>
        <w:t xml:space="preserve"> At a minimum, an employee must file a charge with the Eq</w:t>
      </w:r>
      <w:r>
        <w:rPr>
          <w:rFonts w:ascii="Arial" w:eastAsia="Arial" w:hAnsi="Arial" w:cs="Arial"/>
          <w:color w:val="000000"/>
        </w:rPr>
        <w:t xml:space="preserve">ual Employment Opportunities Commission or the Commission on Human Relations or otherwise instigate </w:t>
      </w:r>
      <w:r>
        <w:rPr>
          <w:rFonts w:ascii="Arial" w:eastAsia="Arial" w:hAnsi="Arial" w:cs="Arial"/>
          <w:color w:val="000000"/>
        </w:rPr>
        <w:lastRenderedPageBreak/>
        <w:t>proceedings under the Florida Civil Rights Act for conduct to come under the participation clause of the Act's antiretaliation provision.</w:t>
      </w:r>
      <w:r>
        <w:rPr>
          <w:rFonts w:ascii="Arial" w:eastAsia="Arial" w:hAnsi="Arial" w:cs="Arial"/>
          <w:vertAlign w:val="superscript"/>
        </w:rPr>
        <w:footnoteReference w:customMarkFollows="1" w:id="193"/>
        <w:t>n6</w:t>
      </w:r>
    </w:p>
    <w:p w:rsidR="007A6EB4" w:rsidRDefault="006F3363">
      <w:pPr>
        <w:spacing w:before="200" w:line="300" w:lineRule="atLeast"/>
        <w:jc w:val="both"/>
      </w:pPr>
      <w:r>
        <w:rPr>
          <w:rFonts w:ascii="Arial" w:eastAsia="Arial" w:hAnsi="Arial" w:cs="Arial"/>
          <w:color w:val="000000"/>
        </w:rPr>
        <w:t>Observation: The</w:t>
      </w:r>
      <w:r>
        <w:rPr>
          <w:rFonts w:ascii="Arial" w:eastAsia="Arial" w:hAnsi="Arial" w:cs="Arial"/>
          <w:color w:val="000000"/>
        </w:rPr>
        <w:t xml:space="preserve"> antiretaliation provision specifically protects two types of activity: opposition and participation.</w:t>
      </w:r>
      <w:r>
        <w:rPr>
          <w:rFonts w:ascii="Arial" w:eastAsia="Arial" w:hAnsi="Arial" w:cs="Arial"/>
          <w:vertAlign w:val="superscript"/>
        </w:rPr>
        <w:footnoteReference w:customMarkFollows="1" w:id="194"/>
        <w:t>n7</w:t>
      </w:r>
    </w:p>
    <w:p w:rsidR="007A6EB4" w:rsidRDefault="006F3363">
      <w:pPr>
        <w:spacing w:before="200" w:line="300" w:lineRule="atLeast"/>
        <w:jc w:val="both"/>
      </w:pPr>
      <w:r>
        <w:rPr>
          <w:rFonts w:ascii="Arial" w:eastAsia="Arial" w:hAnsi="Arial" w:cs="Arial"/>
          <w:color w:val="000000"/>
        </w:rPr>
        <w:t>In order to establish a prima facie retaliation case, a former employee is required to demonstrate: (1) a statutorily protected expression; (2) an adver</w:t>
      </w:r>
      <w:r>
        <w:rPr>
          <w:rFonts w:ascii="Arial" w:eastAsia="Arial" w:hAnsi="Arial" w:cs="Arial"/>
          <w:color w:val="000000"/>
        </w:rPr>
        <w:t>se employment action; and (3) a causal connection between the participation in the protected expression and the adverse action.</w:t>
      </w:r>
      <w:r>
        <w:rPr>
          <w:rFonts w:ascii="Arial" w:eastAsia="Arial" w:hAnsi="Arial" w:cs="Arial"/>
          <w:vertAlign w:val="superscript"/>
        </w:rPr>
        <w:footnoteReference w:customMarkFollows="1" w:id="195"/>
        <w:t>n8</w:t>
      </w:r>
      <w:r>
        <w:rPr>
          <w:rFonts w:ascii="Arial" w:eastAsia="Arial" w:hAnsi="Arial" w:cs="Arial"/>
          <w:color w:val="000000"/>
        </w:rPr>
        <w:t xml:space="preserve"> The decision maker must be aware of an employee's statutorily protected activities in order to be liable under the Florida Civ</w:t>
      </w:r>
      <w:r>
        <w:rPr>
          <w:rFonts w:ascii="Arial" w:eastAsia="Arial" w:hAnsi="Arial" w:cs="Arial"/>
          <w:color w:val="000000"/>
        </w:rPr>
        <w:t>il Rights Act for retaliation against an employee based on those activities.</w:t>
      </w:r>
      <w:r>
        <w:rPr>
          <w:rFonts w:ascii="Arial" w:eastAsia="Arial" w:hAnsi="Arial" w:cs="Arial"/>
          <w:vertAlign w:val="superscript"/>
        </w:rPr>
        <w:footnoteReference w:customMarkFollows="1" w:id="196"/>
        <w:t>n9</w:t>
      </w:r>
    </w:p>
    <w:p w:rsidR="007A6EB4" w:rsidRDefault="006F3363">
      <w:pPr>
        <w:spacing w:before="200" w:line="300" w:lineRule="atLeast"/>
        <w:jc w:val="both"/>
      </w:pPr>
      <w:r>
        <w:rPr>
          <w:rFonts w:ascii="Arial" w:eastAsia="Arial" w:hAnsi="Arial" w:cs="Arial"/>
          <w:color w:val="000000"/>
        </w:rPr>
        <w:t>The causal link element of a retaliation claim under the Florida Civil Rights Act is construed broadly;</w:t>
      </w:r>
      <w:r>
        <w:rPr>
          <w:rFonts w:ascii="Arial" w:eastAsia="Arial" w:hAnsi="Arial" w:cs="Arial"/>
          <w:vertAlign w:val="superscript"/>
        </w:rPr>
        <w:footnoteReference w:customMarkFollows="1" w:id="197"/>
        <w:t>n10</w:t>
      </w:r>
      <w:r>
        <w:rPr>
          <w:rFonts w:ascii="Arial" w:eastAsia="Arial" w:hAnsi="Arial" w:cs="Arial"/>
          <w:color w:val="000000"/>
        </w:rPr>
        <w:t xml:space="preserve"> a plaintiff merely has to prove that the protected activity and the ad</w:t>
      </w:r>
      <w:r>
        <w:rPr>
          <w:rFonts w:ascii="Arial" w:eastAsia="Arial" w:hAnsi="Arial" w:cs="Arial"/>
          <w:color w:val="000000"/>
        </w:rPr>
        <w:t>verse employment action are not completely unrelated.</w:t>
      </w:r>
      <w:r>
        <w:rPr>
          <w:rFonts w:ascii="Arial" w:eastAsia="Arial" w:hAnsi="Arial" w:cs="Arial"/>
          <w:vertAlign w:val="superscript"/>
        </w:rPr>
        <w:footnoteReference w:customMarkFollows="1" w:id="198"/>
        <w:t>n11</w:t>
      </w:r>
      <w:r>
        <w:rPr>
          <w:rFonts w:ascii="Arial" w:eastAsia="Arial" w:hAnsi="Arial" w:cs="Arial"/>
          <w:color w:val="000000"/>
        </w:rPr>
        <w:t xml:space="preserve"> In addition, while adverse events occurring long after statutorily protected activity was exercised generally do not support a finding of causation, the mere lack of close temporal proximity does not</w:t>
      </w:r>
      <w:r>
        <w:rPr>
          <w:rFonts w:ascii="Arial" w:eastAsia="Arial" w:hAnsi="Arial" w:cs="Arial"/>
          <w:color w:val="000000"/>
        </w:rPr>
        <w:t xml:space="preserve"> sound the death knell of the plaintiff's retaliation claim under the Florida Civil Rights Act.</w:t>
      </w:r>
      <w:r>
        <w:rPr>
          <w:rFonts w:ascii="Arial" w:eastAsia="Arial" w:hAnsi="Arial" w:cs="Arial"/>
          <w:vertAlign w:val="superscript"/>
        </w:rPr>
        <w:footnoteReference w:customMarkFollows="1" w:id="199"/>
        <w:t>n12</w:t>
      </w:r>
    </w:p>
    <w:p w:rsidR="007A6EB4" w:rsidRDefault="006F3363">
      <w:pPr>
        <w:spacing w:before="200" w:line="300" w:lineRule="atLeast"/>
        <w:jc w:val="both"/>
      </w:pPr>
      <w:r>
        <w:rPr>
          <w:rFonts w:ascii="Arial" w:eastAsia="Arial" w:hAnsi="Arial" w:cs="Arial"/>
          <w:color w:val="000000"/>
        </w:rPr>
        <w:t>Illustration: Evidence was sufficient to submit a county employee's retaliation claim to the jury where the employee was engaged in a statutorily protected a</w:t>
      </w:r>
      <w:r>
        <w:rPr>
          <w:rFonts w:ascii="Arial" w:eastAsia="Arial" w:hAnsi="Arial" w:cs="Arial"/>
          <w:color w:val="000000"/>
        </w:rPr>
        <w:t>ctivity in that he filed Equal Employment Opportunity Commission charges, his adverse employment action was that he was denied a promotion, and a causal relation was established because the promotion decision makers knew of the employee's lawsuit.</w:t>
      </w:r>
      <w:r>
        <w:rPr>
          <w:rFonts w:ascii="Arial" w:eastAsia="Arial" w:hAnsi="Arial" w:cs="Arial"/>
          <w:vertAlign w:val="superscript"/>
        </w:rPr>
        <w:footnoteReference w:customMarkFollows="1" w:id="200"/>
        <w:t>n13</w:t>
      </w:r>
    </w:p>
    <w:p w:rsidR="007A6EB4" w:rsidRDefault="006F3363">
      <w:pPr>
        <w:spacing w:before="200" w:line="300" w:lineRule="atLeast"/>
        <w:jc w:val="both"/>
      </w:pPr>
      <w:r>
        <w:rPr>
          <w:rFonts w:ascii="Arial" w:eastAsia="Arial" w:hAnsi="Arial" w:cs="Arial"/>
          <w:color w:val="000000"/>
        </w:rPr>
        <w:t>Retal</w:t>
      </w:r>
      <w:r>
        <w:rPr>
          <w:rFonts w:ascii="Arial" w:eastAsia="Arial" w:hAnsi="Arial" w:cs="Arial"/>
          <w:color w:val="000000"/>
        </w:rPr>
        <w:t>iatory discharge claims under the Florida Civil Rights Act are analyzed in the same familiar manner as retaliation claims under Title VII of the Civil Rights Act;</w:t>
      </w:r>
      <w:r>
        <w:rPr>
          <w:rFonts w:ascii="Arial" w:eastAsia="Arial" w:hAnsi="Arial" w:cs="Arial"/>
          <w:vertAlign w:val="superscript"/>
        </w:rPr>
        <w:footnoteReference w:customMarkFollows="1" w:id="201"/>
        <w:t>n14</w:t>
      </w:r>
      <w:r>
        <w:rPr>
          <w:rFonts w:ascii="Arial" w:eastAsia="Arial" w:hAnsi="Arial" w:cs="Arial"/>
          <w:color w:val="000000"/>
        </w:rPr>
        <w:t xml:space="preserve"> the employee first must establish prima facie case of retaliatory discharge, then the burd</w:t>
      </w:r>
      <w:r>
        <w:rPr>
          <w:rFonts w:ascii="Arial" w:eastAsia="Arial" w:hAnsi="Arial" w:cs="Arial"/>
          <w:color w:val="000000"/>
        </w:rPr>
        <w:t xml:space="preserve">en shifts to the employer to </w:t>
      </w:r>
      <w:r>
        <w:rPr>
          <w:rFonts w:ascii="Arial" w:eastAsia="Arial" w:hAnsi="Arial" w:cs="Arial"/>
          <w:color w:val="000000"/>
        </w:rPr>
        <w:lastRenderedPageBreak/>
        <w:t>establish a legitimate business reason for his or her discharge, and if it does so, the employee then bears the burden of establishing that the proffered reason was pretextual.</w:t>
      </w:r>
      <w:r>
        <w:rPr>
          <w:rFonts w:ascii="Arial" w:eastAsia="Arial" w:hAnsi="Arial" w:cs="Arial"/>
          <w:vertAlign w:val="superscript"/>
        </w:rPr>
        <w:footnoteReference w:customMarkFollows="1" w:id="202"/>
        <w:t>n15</w:t>
      </w:r>
    </w:p>
    <w:p w:rsidR="007A6EB4" w:rsidRDefault="006F3363">
      <w:pPr>
        <w:spacing w:before="200" w:line="300" w:lineRule="atLeast"/>
        <w:jc w:val="both"/>
      </w:pPr>
      <w:r>
        <w:rPr>
          <w:rFonts w:ascii="Arial" w:eastAsia="Arial" w:hAnsi="Arial" w:cs="Arial"/>
          <w:color w:val="000000"/>
        </w:rPr>
        <w:t>While an employee's complaint, to support a ret</w:t>
      </w:r>
      <w:r>
        <w:rPr>
          <w:rFonts w:ascii="Arial" w:eastAsia="Arial" w:hAnsi="Arial" w:cs="Arial"/>
          <w:color w:val="000000"/>
        </w:rPr>
        <w:t xml:space="preserve">aliation claim under the Florida Civil Rights Act, cannot be so vague that an employer is unaware that the complaint concerns illegal discrimination, a plaintiff need not employ any magic words, such as discrimination, for the communication of a complaint </w:t>
      </w:r>
      <w:r>
        <w:rPr>
          <w:rFonts w:ascii="Arial" w:eastAsia="Arial" w:hAnsi="Arial" w:cs="Arial"/>
          <w:color w:val="000000"/>
        </w:rPr>
        <w:t>of unlawful discrimination may be inferred or implied from the surrounding facts.</w:t>
      </w:r>
      <w:r>
        <w:rPr>
          <w:rFonts w:ascii="Arial" w:eastAsia="Arial" w:hAnsi="Arial" w:cs="Arial"/>
          <w:vertAlign w:val="superscript"/>
        </w:rPr>
        <w:footnoteReference w:customMarkFollows="1" w:id="203"/>
        <w:t>n16</w:t>
      </w:r>
      <w:r>
        <w:rPr>
          <w:rFonts w:ascii="Arial" w:eastAsia="Arial" w:hAnsi="Arial" w:cs="Arial"/>
          <w:color w:val="000000"/>
        </w:rPr>
        <w:t xml:space="preserve"> To recover for retaliation under the Florida Civil Rights Act, a plaintiff does not need to prove the underlying claim of discrimination so long as he or she had a reasona</w:t>
      </w:r>
      <w:r>
        <w:rPr>
          <w:rFonts w:ascii="Arial" w:eastAsia="Arial" w:hAnsi="Arial" w:cs="Arial"/>
          <w:color w:val="000000"/>
        </w:rPr>
        <w:t>ble good-faith belief that the discrimination existed.</w:t>
      </w:r>
      <w:r>
        <w:rPr>
          <w:rFonts w:ascii="Arial" w:eastAsia="Arial" w:hAnsi="Arial" w:cs="Arial"/>
          <w:vertAlign w:val="superscript"/>
        </w:rPr>
        <w:footnoteReference w:customMarkFollows="1" w:id="204"/>
        <w:t>n17</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56" style="position:absolute;z-index:25177292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1019(5), 1024, 1104, 1107, 1111, 1113 to 1116, 1136 to 1138, 1140, 1141, 1164 to 1190, 1196, 1206, 1207, 1216 </w:t>
      </w:r>
      <w:r>
        <w:rPr>
          <w:rFonts w:ascii="Arial" w:eastAsia="Arial" w:hAnsi="Arial" w:cs="Arial"/>
          <w:color w:val="000000"/>
        </w:rPr>
        <w:t>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w:t>
      </w:r>
      <w:r>
        <w:rPr>
          <w:rFonts w:ascii="Arial" w:eastAsia="Arial" w:hAnsi="Arial" w:cs="Arial"/>
          <w:color w:val="000000"/>
        </w:rPr>
        <w:t xml:space="preserve">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w:t>
      </w:r>
      <w:r>
        <w:rPr>
          <w:rFonts w:ascii="Arial" w:eastAsia="Arial" w:hAnsi="Arial" w:cs="Arial"/>
          <w:color w:val="000000"/>
        </w:rPr>
        <w:t>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w:t>
      </w:r>
      <w:r>
        <w:rPr>
          <w:rFonts w:ascii="Arial" w:eastAsia="Arial" w:hAnsi="Arial" w:cs="Arial"/>
          <w:color w:val="000000"/>
        </w:rPr>
        <w:t>5), 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w:t>
      </w:r>
      <w:r>
        <w:rPr>
          <w:rFonts w:ascii="Arial" w:eastAsia="Arial" w:hAnsi="Arial" w:cs="Arial"/>
          <w:color w:val="000000"/>
        </w:rPr>
        <w:t>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lastRenderedPageBreak/>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 xml:space="preserve">Am. Jur. 2d, </w:t>
      </w:r>
      <w:r>
        <w:rPr>
          <w:rFonts w:ascii="Arial" w:eastAsia="Arial" w:hAnsi="Arial" w:cs="Arial"/>
          <w:color w:val="000000"/>
        </w:rPr>
        <w:t>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w:t>
      </w:r>
      <w:r>
        <w:rPr>
          <w:rFonts w:ascii="Arial" w:eastAsia="Arial" w:hAnsi="Arial" w:cs="Arial"/>
          <w:color w:val="000000"/>
        </w:rPr>
        <w:t>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w:t>
      </w:r>
      <w:r>
        <w:rPr>
          <w:rFonts w:ascii="Arial" w:eastAsia="Arial" w:hAnsi="Arial" w:cs="Arial"/>
          <w:color w:val="000000"/>
        </w:rPr>
        <w:t>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w:t>
      </w:r>
      <w:r>
        <w:rPr>
          <w:rFonts w:ascii="Arial" w:eastAsia="Arial" w:hAnsi="Arial" w:cs="Arial"/>
          <w:color w:val="000000"/>
        </w:rPr>
        <w:t>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Discriminatory Termination of HIV-Positive Employee, 26 Am. Jur. </w:t>
      </w:r>
      <w:r>
        <w:rPr>
          <w:rFonts w:ascii="Arial" w:eastAsia="Arial" w:hAnsi="Arial" w:cs="Arial"/>
          <w:color w:val="000000"/>
        </w:rPr>
        <w:t>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w:t>
      </w:r>
      <w:r>
        <w:rPr>
          <w:rFonts w:ascii="Arial" w:eastAsia="Arial" w:hAnsi="Arial" w:cs="Arial"/>
          <w:color w:val="000000"/>
        </w:rPr>
        <w:t xml:space="preserve">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w:t>
      </w:r>
      <w:r>
        <w:rPr>
          <w:rFonts w:ascii="Arial" w:eastAsia="Arial" w:hAnsi="Arial" w:cs="Arial"/>
          <w:color w:val="000000"/>
        </w:rPr>
        <w:t>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w:t>
      </w:r>
      <w:r>
        <w:rPr>
          <w:rFonts w:ascii="Arial" w:eastAsia="Arial" w:hAnsi="Arial" w:cs="Arial"/>
          <w:color w:val="000000"/>
        </w:rPr>
        <w:t>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1242 to 1245, 1261, 1553</w:t>
      </w:r>
    </w:p>
    <w:p w:rsidR="007A6EB4" w:rsidRDefault="006F3363">
      <w:pPr>
        <w:keepNext/>
        <w:spacing w:before="240" w:line="340" w:lineRule="atLeast"/>
      </w:pPr>
      <w:r>
        <w:lastRenderedPageBreak/>
        <w:br/>
      </w:r>
      <w:r>
        <w:rPr>
          <w:rFonts w:ascii="Arial" w:eastAsia="Arial" w:hAnsi="Arial" w:cs="Arial"/>
          <w:b/>
          <w:color w:val="000000"/>
          <w:sz w:val="28"/>
        </w:rPr>
        <w:t>Sup</w:t>
      </w:r>
      <w:r>
        <w:rPr>
          <w:rFonts w:ascii="Arial" w:eastAsia="Arial" w:hAnsi="Arial" w:cs="Arial"/>
          <w:b/>
          <w:color w:val="000000"/>
          <w:sz w:val="28"/>
        </w:rPr>
        <w:t>plement</w:t>
      </w:r>
    </w:p>
    <w:p w:rsidR="007A6EB4" w:rsidRDefault="006F3363">
      <w:pPr>
        <w:spacing w:line="60" w:lineRule="exact"/>
      </w:pPr>
      <w:r>
        <w:pict>
          <v:line id="_x0000_s1157" style="position:absolute;z-index:25181900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Employee failed to show causal connection between her protected activity of filing discrimination charge and her termination, and, thus, she failed to establish prima facie case of retaliation under the Florida Civil Rights Act, arising ou</w:t>
      </w:r>
      <w:r>
        <w:rPr>
          <w:rFonts w:ascii="Arial" w:eastAsia="Arial" w:hAnsi="Arial" w:cs="Arial"/>
          <w:color w:val="000000"/>
        </w:rPr>
        <w:t>t of employer's decision to terminate her employment and subsequent failure to rehire her after she returned from medical leave and it closed office to which she was transferred upon her return, where there was temporal gap of more than one year between em</w:t>
      </w:r>
      <w:r>
        <w:rPr>
          <w:rFonts w:ascii="Arial" w:eastAsia="Arial" w:hAnsi="Arial" w:cs="Arial"/>
          <w:color w:val="000000"/>
        </w:rPr>
        <w:t>ployer's knowledge that employee filed discrimination charge and its alleged failure to rehire her. West's F.S.A. § 760.01 et seq. Palermo v. Grunau Company, Inc., 220 F. Supp. 3d 1300 (M.D. Fla. 2016), as amended, (Nov. 7, 2016).</w:t>
      </w:r>
    </w:p>
    <w:p w:rsidR="007A6EB4" w:rsidRDefault="006F3363">
      <w:pPr>
        <w:spacing w:before="200" w:line="300" w:lineRule="atLeast"/>
        <w:jc w:val="both"/>
      </w:pPr>
      <w:r>
        <w:rPr>
          <w:rFonts w:ascii="Arial" w:eastAsia="Arial" w:hAnsi="Arial" w:cs="Arial"/>
          <w:color w:val="000000"/>
        </w:rPr>
        <w:t>An employment retaliation</w:t>
      </w:r>
      <w:r>
        <w:rPr>
          <w:rFonts w:ascii="Arial" w:eastAsia="Arial" w:hAnsi="Arial" w:cs="Arial"/>
          <w:color w:val="000000"/>
        </w:rPr>
        <w:t xml:space="preserve"> claim under Florida law has the same elements as employment retaliation claims under federal law: (1) the employee engaged in statutorily protected activity, (2) was subjected to an adverse employment action, and (3) there was a causal relationship betwee</w:t>
      </w:r>
      <w:r>
        <w:rPr>
          <w:rFonts w:ascii="Arial" w:eastAsia="Arial" w:hAnsi="Arial" w:cs="Arial"/>
          <w:color w:val="000000"/>
        </w:rPr>
        <w:t>n the protected activity and the adverse employment action. Fla. Stat. Ann. § 440.205. Juback v. Michaels Stores, Inc., 143 F. Supp. 3d 1195 (M.D. Fla. 2015).</w:t>
      </w:r>
    </w:p>
    <w:p w:rsidR="007A6EB4" w:rsidRDefault="006F3363">
      <w:pPr>
        <w:spacing w:before="200" w:line="300" w:lineRule="atLeast"/>
        <w:jc w:val="both"/>
      </w:pPr>
      <w:r>
        <w:rPr>
          <w:rFonts w:ascii="Arial" w:eastAsia="Arial" w:hAnsi="Arial" w:cs="Arial"/>
          <w:color w:val="000000"/>
        </w:rPr>
        <w:t>The causal link required to establish a prima facie case of retaliation under the ADA and the Flo</w:t>
      </w:r>
      <w:r>
        <w:rPr>
          <w:rFonts w:ascii="Arial" w:eastAsia="Arial" w:hAnsi="Arial" w:cs="Arial"/>
          <w:color w:val="000000"/>
        </w:rPr>
        <w:t>rida Civil Rights Act (FCRA) is construed broadly, so that an employee merely has to prove that the protected activity and the adverse action are not completely unrelated. Americans with Disabilities Act of 1990, § 2 et seq., 42 U.S.C.A. § 12101 et seq.; W</w:t>
      </w:r>
      <w:r>
        <w:rPr>
          <w:rFonts w:ascii="Arial" w:eastAsia="Arial" w:hAnsi="Arial" w:cs="Arial"/>
          <w:color w:val="000000"/>
        </w:rPr>
        <w:t>est's F.S.A. § 760.10 et seq. Corning v. LodgeNet Interactive Corp., 896 F. Supp. 2d 1138 (M.D. Fla. 2012).</w:t>
      </w:r>
    </w:p>
    <w:p w:rsidR="007A6EB4" w:rsidRDefault="006F3363">
      <w:pPr>
        <w:spacing w:before="200" w:line="300" w:lineRule="atLeast"/>
        <w:jc w:val="both"/>
      </w:pPr>
      <w:r>
        <w:rPr>
          <w:rFonts w:ascii="Arial" w:eastAsia="Arial" w:hAnsi="Arial" w:cs="Arial"/>
          <w:color w:val="000000"/>
        </w:rPr>
        <w:t>Eight-month delay between public employee's protected activity of complaining about national origin discrimination and her termination was insuffici</w:t>
      </w:r>
      <w:r>
        <w:rPr>
          <w:rFonts w:ascii="Arial" w:eastAsia="Arial" w:hAnsi="Arial" w:cs="Arial"/>
          <w:color w:val="000000"/>
        </w:rPr>
        <w:t xml:space="preserve">ent to raise an inference of retaliation through temporal proximity to establish causal connection, as required to support former employee's retaliation action under Title VII and the Florida Civil Rights Act. Civil Rights Act of 1964 § 704, 42 U.S.C.A. § </w:t>
      </w:r>
      <w:r>
        <w:rPr>
          <w:rFonts w:ascii="Arial" w:eastAsia="Arial" w:hAnsi="Arial" w:cs="Arial"/>
          <w:color w:val="000000"/>
        </w:rPr>
        <w:t>2000e-3; Fla. Stat. Ann. § 760. Avila v. Childers, 212 F. Supp. 3d 1182 (N.D. Fla. 2016).</w:t>
      </w:r>
    </w:p>
    <w:p w:rsidR="007A6EB4" w:rsidRDefault="006F3363">
      <w:pPr>
        <w:spacing w:before="200" w:line="300" w:lineRule="atLeast"/>
        <w:jc w:val="both"/>
      </w:pPr>
      <w:r>
        <w:rPr>
          <w:rFonts w:ascii="Arial" w:eastAsia="Arial" w:hAnsi="Arial" w:cs="Arial"/>
          <w:color w:val="000000"/>
        </w:rPr>
        <w:t>To show causation through temporal proximity in a retaliation action under Title VII and the Florida Civil Rights Act, the time between the protected activity and the</w:t>
      </w:r>
      <w:r>
        <w:rPr>
          <w:rFonts w:ascii="Arial" w:eastAsia="Arial" w:hAnsi="Arial" w:cs="Arial"/>
          <w:color w:val="000000"/>
        </w:rPr>
        <w:t xml:space="preserve"> adverse action must be, without more, very close. Civil Rights Act of 1964 § 704, 42 U.S.C.A. § 2000e-3; Fla. Stat. Ann. § 760. Avila v. Childers, 212 F. Supp. 3d 1182 (N.D. Fla. 2016).</w:t>
      </w:r>
    </w:p>
    <w:p w:rsidR="007A6EB4" w:rsidRDefault="006F3363">
      <w:pPr>
        <w:spacing w:before="200" w:line="300" w:lineRule="atLeast"/>
        <w:jc w:val="both"/>
      </w:pPr>
      <w:r>
        <w:rPr>
          <w:rFonts w:ascii="Arial" w:eastAsia="Arial" w:hAnsi="Arial" w:cs="Arial"/>
          <w:color w:val="000000"/>
        </w:rPr>
        <w:t>When there is no other evidence to demonstrate causation in a retalia</w:t>
      </w:r>
      <w:r>
        <w:rPr>
          <w:rFonts w:ascii="Arial" w:eastAsia="Arial" w:hAnsi="Arial" w:cs="Arial"/>
          <w:color w:val="000000"/>
        </w:rPr>
        <w:t>tion action under Title VII and the Florida Civil Rights Act other than temporal proximity, if there is substantial delay between the protected expression and the adverse action, the complaint of retaliation fails as a matter of law. Civil Rights Act of 19</w:t>
      </w:r>
      <w:r>
        <w:rPr>
          <w:rFonts w:ascii="Arial" w:eastAsia="Arial" w:hAnsi="Arial" w:cs="Arial"/>
          <w:color w:val="000000"/>
        </w:rPr>
        <w:t>64 § 704, 42 U.S.C.A. § 2000e-3; Fla. Stat. Ann. § 760. Avila v. Childers, 212 F. Supp. 3d 1182 (N.D. Fla. 2016).</w:t>
      </w:r>
    </w:p>
    <w:p w:rsidR="007A6EB4" w:rsidRDefault="006F3363">
      <w:pPr>
        <w:spacing w:before="200" w:line="300" w:lineRule="atLeast"/>
        <w:jc w:val="both"/>
      </w:pPr>
      <w:r>
        <w:rPr>
          <w:rFonts w:ascii="Arial" w:eastAsia="Arial" w:hAnsi="Arial" w:cs="Arial"/>
          <w:color w:val="000000"/>
        </w:rPr>
        <w:t xml:space="preserve">Terminated bank tellers sufficiently alleged retaliation by managers in violation of the Florida Minimum Wage Act, and thus managers were not </w:t>
      </w:r>
      <w:r>
        <w:rPr>
          <w:rFonts w:ascii="Arial" w:eastAsia="Arial" w:hAnsi="Arial" w:cs="Arial"/>
          <w:color w:val="000000"/>
        </w:rPr>
        <w:t xml:space="preserve">fraudulently joined in action against bank in order to defeat removal based on diversity jurisdiction, where tellers alleged that they </w:t>
      </w:r>
      <w:r>
        <w:rPr>
          <w:rFonts w:ascii="Arial" w:eastAsia="Arial" w:hAnsi="Arial" w:cs="Arial"/>
          <w:color w:val="000000"/>
        </w:rPr>
        <w:lastRenderedPageBreak/>
        <w:t>complained to managers about having to perform off-the-clock work in order to solicit new accounts, that they were termin</w:t>
      </w:r>
      <w:r>
        <w:rPr>
          <w:rFonts w:ascii="Arial" w:eastAsia="Arial" w:hAnsi="Arial" w:cs="Arial"/>
          <w:color w:val="000000"/>
        </w:rPr>
        <w:t>ated shortly after they voiced their complaints, which were used as a motivating factor in the termination decisions, and that they believed in good faith that managers' actions violated the Act and that their complaints about off-the-clock work constitute</w:t>
      </w:r>
      <w:r>
        <w:rPr>
          <w:rFonts w:ascii="Arial" w:eastAsia="Arial" w:hAnsi="Arial" w:cs="Arial"/>
          <w:color w:val="000000"/>
        </w:rPr>
        <w:t>d protected activity under the Act's retaliation clause. 28 U.S.C.A. §§ 1332, 1441(a); Fla. Stat. Ann. § 448.110 et seq. Lett v. Wells Fargo Bank, N.A., 233 F. Supp. 3d 1330 (S.D. Fla. 2017).</w:t>
      </w:r>
    </w:p>
    <w:p w:rsidR="007A6EB4" w:rsidRDefault="006F3363">
      <w:pPr>
        <w:spacing w:before="200" w:line="300" w:lineRule="atLeast"/>
        <w:jc w:val="both"/>
      </w:pPr>
      <w:r>
        <w:rPr>
          <w:rFonts w:ascii="Arial" w:eastAsia="Arial" w:hAnsi="Arial" w:cs="Arial"/>
          <w:color w:val="000000"/>
        </w:rPr>
        <w:t xml:space="preserve">Pregnant state employee's intervening act of </w:t>
      </w:r>
      <w:r>
        <w:rPr>
          <w:rFonts w:ascii="Arial" w:eastAsia="Arial" w:hAnsi="Arial" w:cs="Arial"/>
          <w:color w:val="000000"/>
        </w:rPr>
        <w:t>misconduct, consisting of suspected attempted theft of state property without explanation one week prior to termination, precluded finding that protected activity of complaining about supervisor's seeming frustration about employee's pregnancy three months</w:t>
      </w:r>
      <w:r>
        <w:rPr>
          <w:rFonts w:ascii="Arial" w:eastAsia="Arial" w:hAnsi="Arial" w:cs="Arial"/>
          <w:color w:val="000000"/>
        </w:rPr>
        <w:t xml:space="preserve"> prior to termination was but-for cause of termination, and thus employee failed to establish a prima facie case of retaliation under Title VII and Florida Civil Rights Act (FCRA). Civil Rights Act of 1964 § 703, 42 U.S.C.A. § 2000e-2(a)(1); Fla. Stat. Ann</w:t>
      </w:r>
      <w:r>
        <w:rPr>
          <w:rFonts w:ascii="Arial" w:eastAsia="Arial" w:hAnsi="Arial" w:cs="Arial"/>
          <w:color w:val="000000"/>
        </w:rPr>
        <w:t>. § 760.10(1)(a). Diaz v. Florida, 219 F. Supp. 3d 1207 (S.D. Fla. 2016).</w:t>
      </w:r>
    </w:p>
    <w:p w:rsidR="007A6EB4" w:rsidRDefault="006F3363">
      <w:pPr>
        <w:spacing w:before="200" w:line="300" w:lineRule="atLeast"/>
        <w:jc w:val="both"/>
      </w:pPr>
      <w:r>
        <w:rPr>
          <w:rFonts w:ascii="Arial" w:eastAsia="Arial" w:hAnsi="Arial" w:cs="Arial"/>
          <w:color w:val="000000"/>
        </w:rPr>
        <w:t>Under Florida's private-sector whistle-blower's act (FWA), a plaintiff may establish a prima facie showing of retaliation by showing that he engaged in a protected activity and suffe</w:t>
      </w:r>
      <w:r>
        <w:rPr>
          <w:rFonts w:ascii="Arial" w:eastAsia="Arial" w:hAnsi="Arial" w:cs="Arial"/>
          <w:color w:val="000000"/>
        </w:rPr>
        <w:t>red an adverse employment action, and that the protected activity and adverse employment action were causally related. Fla. Stat. Ann. § 448.101. Hall v. Teva Pharmaceutical USA, Inc., 214 F. Supp. 3d 1281 (S.D. Fla. 2016).</w:t>
      </w:r>
    </w:p>
    <w:p w:rsidR="007A6EB4" w:rsidRDefault="006F3363">
      <w:pPr>
        <w:spacing w:before="200" w:line="300" w:lineRule="atLeast"/>
        <w:jc w:val="both"/>
      </w:pPr>
      <w:r>
        <w:rPr>
          <w:rFonts w:ascii="Arial" w:eastAsia="Arial" w:hAnsi="Arial" w:cs="Arial"/>
          <w:color w:val="000000"/>
        </w:rPr>
        <w:t xml:space="preserve">African-American </w:t>
      </w:r>
      <w:r>
        <w:rPr>
          <w:rFonts w:ascii="Arial" w:eastAsia="Arial" w:hAnsi="Arial" w:cs="Arial"/>
          <w:color w:val="000000"/>
        </w:rPr>
        <w:t xml:space="preserve">custodian at Florida community college established prima facie case of retaliation under Title VII and Florida Civil Rights Act (FCRA) through evidence that he was placed on probation for 30 days approximately two months after he complained informally and </w:t>
      </w:r>
      <w:r>
        <w:rPr>
          <w:rFonts w:ascii="Arial" w:eastAsia="Arial" w:hAnsi="Arial" w:cs="Arial"/>
          <w:color w:val="000000"/>
        </w:rPr>
        <w:t>formally to college officials about racial discrimination in custodial department, and that he submitted his resignation letter in response to resign-or-be-terminated ultimatum three days after he filed Equal Employment Opportunity Commission (EEOC) charge</w:t>
      </w:r>
      <w:r>
        <w:rPr>
          <w:rFonts w:ascii="Arial" w:eastAsia="Arial" w:hAnsi="Arial" w:cs="Arial"/>
          <w:color w:val="000000"/>
        </w:rPr>
        <w:t>. Civil Rights Act of 1964, § 704(a), 42 U.S.C.A. § 2000e-3(a); West's F.S.A. § 760.10(7). Shedrick v. District Bd. of Trustees of Miami-Dade College, 941 F. Supp. 2d 1348 (S.D. Fla. 2013).</w:t>
      </w:r>
    </w:p>
    <w:p w:rsidR="007A6EB4" w:rsidRDefault="006F3363">
      <w:pPr>
        <w:spacing w:before="200" w:line="300" w:lineRule="atLeast"/>
        <w:jc w:val="both"/>
      </w:pPr>
      <w:r>
        <w:rPr>
          <w:rFonts w:ascii="Arial" w:eastAsia="Arial" w:hAnsi="Arial" w:cs="Arial"/>
          <w:color w:val="000000"/>
        </w:rPr>
        <w:t>Florida community college's proffered reason for placing African-A</w:t>
      </w:r>
      <w:r>
        <w:rPr>
          <w:rFonts w:ascii="Arial" w:eastAsia="Arial" w:hAnsi="Arial" w:cs="Arial"/>
          <w:color w:val="000000"/>
        </w:rPr>
        <w:t xml:space="preserve">merican custodian on probation for 30 days, that he did not timely respond to attempts to contact him when his services were needed on campus around time of tropical storm, and its proffered reason for subsequently giving him choice between resignation or </w:t>
      </w:r>
      <w:r>
        <w:rPr>
          <w:rFonts w:ascii="Arial" w:eastAsia="Arial" w:hAnsi="Arial" w:cs="Arial"/>
          <w:color w:val="000000"/>
        </w:rPr>
        <w:t xml:space="preserve">termination, that he called in sick but proceeded to attend campus party during his working hours, were legitimate and nonretaliatory and shifted burden to custodian to show they were pretext to retaliate against him for protected activity under Title VII </w:t>
      </w:r>
      <w:r>
        <w:rPr>
          <w:rFonts w:ascii="Arial" w:eastAsia="Arial" w:hAnsi="Arial" w:cs="Arial"/>
          <w:color w:val="000000"/>
        </w:rPr>
        <w:t>and Florida Civil Rights Act (FCRA). Civil Rights Act of 1964, § 704(a), 42 U.S.C.A. § 2000e-3(a); West's F.S.A. § 760.10(7). Shedrick v. District Bd. of Trustees of Miami-Dade College, 941 F. Supp. 2d 1348 (S.D. Fla. 2013).</w:t>
      </w:r>
    </w:p>
    <w:p w:rsidR="007A6EB4" w:rsidRDefault="006F3363">
      <w:pPr>
        <w:spacing w:before="200" w:line="300" w:lineRule="atLeast"/>
        <w:jc w:val="both"/>
      </w:pPr>
      <w:r>
        <w:rPr>
          <w:rFonts w:ascii="Arial" w:eastAsia="Arial" w:hAnsi="Arial" w:cs="Arial"/>
          <w:color w:val="000000"/>
        </w:rPr>
        <w:t>African-American custodian at F</w:t>
      </w:r>
      <w:r>
        <w:rPr>
          <w:rFonts w:ascii="Arial" w:eastAsia="Arial" w:hAnsi="Arial" w:cs="Arial"/>
          <w:color w:val="000000"/>
        </w:rPr>
        <w:t>lorida community college who had filed a protected complaint of racial discrimination did not have to show comparator to prevail on retaliation claims under Title VII and Florida Civil Rights Act (FCRA); thus, it was irrelevant that another African-America</w:t>
      </w:r>
      <w:r>
        <w:rPr>
          <w:rFonts w:ascii="Arial" w:eastAsia="Arial" w:hAnsi="Arial" w:cs="Arial"/>
          <w:color w:val="000000"/>
        </w:rPr>
        <w:t>n custodian who did not show up to work when contacted but nevertheless was not disciplined was in the same protected class. Civil Rights Act of 1964, § 704(a), 42 U.S.C.A. § 2000e-3(a); West's F.S.A. § 760.10(7). Shedrick v. District Bd. of Trustees of Mi</w:t>
      </w:r>
      <w:r>
        <w:rPr>
          <w:rFonts w:ascii="Arial" w:eastAsia="Arial" w:hAnsi="Arial" w:cs="Arial"/>
          <w:color w:val="000000"/>
        </w:rPr>
        <w:t>ami-Dade College, 941 F. Supp. 2d 1348 (S.D. Fla. 2013).</w:t>
      </w:r>
    </w:p>
    <w:p w:rsidR="007A6EB4" w:rsidRDefault="006F3363">
      <w:pPr>
        <w:spacing w:before="200" w:line="300" w:lineRule="atLeast"/>
        <w:jc w:val="both"/>
      </w:pPr>
      <w:r>
        <w:rPr>
          <w:rFonts w:ascii="Arial" w:eastAsia="Arial" w:hAnsi="Arial" w:cs="Arial"/>
          <w:color w:val="000000"/>
        </w:rPr>
        <w:lastRenderedPageBreak/>
        <w:t xml:space="preserve">Florida community college's proffered reason for African-American custodian's termination, that it was part of college-wide reduction in force (RIF), was not shown to be pretext to retaliate for his </w:t>
      </w:r>
      <w:r>
        <w:rPr>
          <w:rFonts w:ascii="Arial" w:eastAsia="Arial" w:hAnsi="Arial" w:cs="Arial"/>
          <w:color w:val="000000"/>
        </w:rPr>
        <w:t>protected activity of submitting Equal Employment Opportunity Commission (EEOC) charge the month before, in violation of Title VII or Florida Civil Rights Act (FCRA); although custodian questioned why one single Hispanic employee was not terminated, he ind</w:t>
      </w:r>
      <w:r>
        <w:rPr>
          <w:rFonts w:ascii="Arial" w:eastAsia="Arial" w:hAnsi="Arial" w:cs="Arial"/>
          <w:color w:val="000000"/>
        </w:rPr>
        <w:t>icated in deposition that he believed college's budgetary RIF rationale was legitimate. Civil Rights Act of 1964, § 704(a), 42 U.S.C.A. § 2000e-3(a); West's F.S.A. § 760.10(7). Shedrick v. District Bd. of Trustees of Miami-Dade College, 941 F. Supp. 2d 134</w:t>
      </w:r>
      <w:r>
        <w:rPr>
          <w:rFonts w:ascii="Arial" w:eastAsia="Arial" w:hAnsi="Arial" w:cs="Arial"/>
          <w:color w:val="000000"/>
        </w:rPr>
        <w:t>8 (S.D. Fla. 2013).</w:t>
      </w:r>
    </w:p>
    <w:p w:rsidR="007A6EB4" w:rsidRDefault="006F3363">
      <w:pPr>
        <w:spacing w:before="200" w:line="300" w:lineRule="atLeast"/>
        <w:jc w:val="both"/>
      </w:pPr>
      <w:r>
        <w:rPr>
          <w:rFonts w:ascii="Arial" w:eastAsia="Arial" w:hAnsi="Arial" w:cs="Arial"/>
          <w:color w:val="000000"/>
        </w:rPr>
        <w:t>Female employee who identified as a gender non-conforming homosexual failed to sufficiently allege that she put her employer on notice that she had engaged in protected activity by complaining about harassment by her supervisor, and thu</w:t>
      </w:r>
      <w:r>
        <w:rPr>
          <w:rFonts w:ascii="Arial" w:eastAsia="Arial" w:hAnsi="Arial" w:cs="Arial"/>
          <w:color w:val="000000"/>
        </w:rPr>
        <w:t>s failed to state a claim for retaliation under the opposition clause of the Florida Civil Rights Act (FCRA). West's F.S.A. § 760.10(7). Arnold v. Heartland Dental, LLC, 101 F. Supp. 3d 1220 (M.D. Fla. 2015) (applying Florida law).</w:t>
      </w:r>
    </w:p>
    <w:p w:rsidR="007A6EB4" w:rsidRDefault="006F3363">
      <w:pPr>
        <w:spacing w:before="200" w:line="300" w:lineRule="atLeast"/>
        <w:jc w:val="both"/>
      </w:pPr>
      <w:r>
        <w:rPr>
          <w:rFonts w:ascii="Arial" w:eastAsia="Arial" w:hAnsi="Arial" w:cs="Arial"/>
          <w:color w:val="000000"/>
        </w:rPr>
        <w:t>Florida community colleg</w:t>
      </w:r>
      <w:r>
        <w:rPr>
          <w:rFonts w:ascii="Arial" w:eastAsia="Arial" w:hAnsi="Arial" w:cs="Arial"/>
          <w:color w:val="000000"/>
        </w:rPr>
        <w:t>e did not retaliate against employee for filing charge of discrimination; there was no evidence that employee engaged in any disability-related protected activity prior to his termination, and employee did not file Equal Employment Opportunity Commission (</w:t>
      </w:r>
      <w:r>
        <w:rPr>
          <w:rFonts w:ascii="Arial" w:eastAsia="Arial" w:hAnsi="Arial" w:cs="Arial"/>
          <w:color w:val="000000"/>
        </w:rPr>
        <w:t>EEOC) charge until after he was discharged so there could be no causal link between filing of that charge and employee's termination. West's F.S.A. § 760.10(7). Shedrick v. District Bd. of Trustees of Miami-Dade College, 941 F. Supp. 2d 1348 (S.D. Fla. 201</w:t>
      </w:r>
      <w:r>
        <w:rPr>
          <w:rFonts w:ascii="Arial" w:eastAsia="Arial" w:hAnsi="Arial" w:cs="Arial"/>
          <w:color w:val="000000"/>
        </w:rPr>
        <w:t>3) (applying Florida law).</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58" style="position:absolute;left:0;text-align:left;z-index:25186099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45"/>
          <w:headerReference w:type="default" r:id="rId146"/>
          <w:footerReference w:type="even" r:id="rId147"/>
          <w:footerReference w:type="default" r:id="rId148"/>
          <w:headerReference w:type="first" r:id="rId149"/>
          <w:footerReference w:type="first" r:id="rId150"/>
          <w:pgSz w:w="12240" w:h="15840"/>
          <w:pgMar w:top="840" w:right="1000" w:bottom="840" w:left="1000" w:header="400" w:footer="400" w:gutter="0"/>
          <w:cols w:space="720"/>
          <w:titlePg/>
        </w:sectPr>
      </w:pPr>
    </w:p>
    <w:p w:rsidR="007A6EB4" w:rsidRDefault="007A6EB4">
      <w:bookmarkStart w:id="24" w:name="Bookmark_24"/>
      <w:bookmarkEnd w:id="24"/>
    </w:p>
    <w:p w:rsidR="007A6EB4" w:rsidRDefault="006F3363">
      <w:r>
        <w:pict>
          <v:shape id="_x0000_i1048"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23</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A. Unlawful Employment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60" style="position:absolute;z-index:25168179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23 Religious entities excluded from application of Act</w:t>
      </w:r>
    </w:p>
    <w:p w:rsidR="007A6EB4" w:rsidRDefault="006F3363">
      <w:pPr>
        <w:spacing w:line="60" w:lineRule="exact"/>
      </w:pPr>
      <w:r>
        <w:pict>
          <v:line id="_x0000_s1161" style="position:absolute;z-index:25172787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The provisions making certain employment practices unlawful do not apply to a religious corporation, association, educational institution, or society that conditions opportunities in the area of employment or public accommodation to members of that religio</w:t>
      </w:r>
      <w:r>
        <w:rPr>
          <w:rFonts w:ascii="Arial" w:eastAsia="Arial" w:hAnsi="Arial" w:cs="Arial"/>
          <w:color w:val="000000"/>
        </w:rPr>
        <w:t>us corporation, association, educational institution, or society or to persons who subscribe to its tenets or beliefs.</w:t>
      </w:r>
      <w:r>
        <w:rPr>
          <w:rFonts w:ascii="Arial" w:eastAsia="Arial" w:hAnsi="Arial" w:cs="Arial"/>
          <w:vertAlign w:val="superscript"/>
        </w:rPr>
        <w:footnoteReference w:customMarkFollows="1" w:id="205"/>
        <w:t>n1</w:t>
      </w:r>
      <w:r>
        <w:rPr>
          <w:rFonts w:ascii="Arial" w:eastAsia="Arial" w:hAnsi="Arial" w:cs="Arial"/>
          <w:color w:val="000000"/>
        </w:rPr>
        <w:t xml:space="preserve"> The statute also does not prohibit a religious corporation, association, educational institution, or society from giving preference in </w:t>
      </w:r>
      <w:r>
        <w:rPr>
          <w:rFonts w:ascii="Arial" w:eastAsia="Arial" w:hAnsi="Arial" w:cs="Arial"/>
          <w:color w:val="000000"/>
        </w:rPr>
        <w:t>employment to individuals of a particular religion to perform work connected with the carrying on by such corporations, associations, educational institutions, or societies of its various activities.</w:t>
      </w:r>
      <w:r>
        <w:rPr>
          <w:rFonts w:ascii="Arial" w:eastAsia="Arial" w:hAnsi="Arial" w:cs="Arial"/>
          <w:vertAlign w:val="superscript"/>
        </w:rPr>
        <w:footnoteReference w:customMarkFollows="1" w:id="206"/>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62" style="position:absolute;z-index:25177395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t>
      </w:r>
      <w:r>
        <w:rPr>
          <w:rFonts w:ascii="Arial" w:eastAsia="Arial" w:hAnsi="Arial" w:cs="Arial"/>
          <w:color w:val="000000"/>
        </w:rPr>
        <w:t>westkey]1009 to 1016, 1019(3), 1019(5), 1024, 1104, 1107, 1111, 1113 to 1116, 1136 to 1138, 1140, 1141, 1164 to 1190, 1196, 1206, 1207, 1216 to 1218, 1225(1) to 1225(3), 1242 to 1245, 1261, 1262, 1536, 1544, 1545, 1553, 1703, 1704, 1710, 1720, 1727 to 1729</w:t>
      </w:r>
      <w:r>
        <w:rPr>
          <w:rFonts w:ascii="Arial" w:eastAsia="Arial" w:hAnsi="Arial" w:cs="Arial"/>
          <w:color w:val="000000"/>
        </w:rPr>
        <w:t>,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lastRenderedPageBreak/>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w:t>
      </w:r>
      <w:r>
        <w:rPr>
          <w:rFonts w:ascii="Arial" w:eastAsia="Arial" w:hAnsi="Arial" w:cs="Arial"/>
          <w:color w:val="000000"/>
        </w:rPr>
        <w:t xml:space="preserve">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 xml:space="preserve">West's A.L.R. Digest, Labor and Employment [westkey]1150, 2461, </w:t>
      </w:r>
      <w:r>
        <w:rPr>
          <w:rFonts w:ascii="Arial" w:eastAsia="Arial" w:hAnsi="Arial" w:cs="Arial"/>
          <w:color w:val="000000"/>
        </w:rPr>
        <w:t>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 xml:space="preserve">C.J.S., Employer-Employee Relationship </w:t>
      </w:r>
      <w:r>
        <w:rPr>
          <w:rFonts w:ascii="Arial" w:eastAsia="Arial" w:hAnsi="Arial" w:cs="Arial"/>
          <w:color w:val="000000"/>
        </w:rPr>
        <w:t>§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w:t>
      </w:r>
      <w:r>
        <w:rPr>
          <w:rFonts w:ascii="Arial" w:eastAsia="Arial" w:hAnsi="Arial" w:cs="Arial"/>
          <w:color w:val="000000"/>
        </w:rPr>
        <w:t>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w:t>
      </w:r>
      <w:r>
        <w:rPr>
          <w:rFonts w:ascii="Arial" w:eastAsia="Arial" w:hAnsi="Arial" w:cs="Arial"/>
          <w:color w:val="000000"/>
        </w:rPr>
        <w:t>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w:t>
      </w:r>
      <w:r>
        <w:rPr>
          <w:rFonts w:ascii="Arial" w:eastAsia="Arial" w:hAnsi="Arial" w:cs="Arial"/>
          <w:color w:val="000000"/>
        </w:rPr>
        <w:t xml:space="preserve">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w:t>
      </w:r>
      <w:r>
        <w:rPr>
          <w:rFonts w:ascii="Arial" w:eastAsia="Arial" w:hAnsi="Arial" w:cs="Arial"/>
          <w:color w:val="000000"/>
        </w:rPr>
        <w:t>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lastRenderedPageBreak/>
        <w:t xml:space="preserve">Disability Discrimination Based on Dyslexia in Employment Actions Under the </w:t>
      </w:r>
      <w:r>
        <w:rPr>
          <w:rFonts w:ascii="Arial" w:eastAsia="Arial" w:hAnsi="Arial" w:cs="Arial"/>
          <w:color w:val="000000"/>
        </w:rPr>
        <w:t>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w:t>
      </w:r>
      <w:r>
        <w:rPr>
          <w:rFonts w:ascii="Arial" w:eastAsia="Arial" w:hAnsi="Arial" w:cs="Arial"/>
          <w:color w:val="000000"/>
        </w:rPr>
        <w:t xml:space="preserve">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 xml:space="preserve">Florida Jur. Forms Legal and </w:t>
      </w:r>
      <w:r>
        <w:rPr>
          <w:rFonts w:ascii="Arial" w:eastAsia="Arial" w:hAnsi="Arial" w:cs="Arial"/>
          <w:color w:val="000000"/>
        </w:rPr>
        <w:t>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1114, 1163</w:t>
      </w:r>
    </w:p>
    <w:p w:rsidR="007A6EB4" w:rsidRDefault="006F3363">
      <w:pPr>
        <w:spacing w:before="120" w:line="300" w:lineRule="atLeast"/>
      </w:pPr>
      <w:r>
        <w:rPr>
          <w:rFonts w:ascii="Arial" w:eastAsia="Arial" w:hAnsi="Arial" w:cs="Arial"/>
          <w:color w:val="000000"/>
        </w:rPr>
        <w:t>Application of First Amendment's "Ministerial Exception" or "Ecclesiastical Exception" to State Civil Rights Cl</w:t>
      </w:r>
      <w:r>
        <w:rPr>
          <w:rFonts w:ascii="Arial" w:eastAsia="Arial" w:hAnsi="Arial" w:cs="Arial"/>
          <w:color w:val="000000"/>
        </w:rPr>
        <w:t>aims, 53 A.L.R.6th 569</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63" style="position:absolute;left:0;text-align:left;z-index:25182003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51"/>
          <w:headerReference w:type="default" r:id="rId152"/>
          <w:footerReference w:type="even" r:id="rId153"/>
          <w:footerReference w:type="default" r:id="rId154"/>
          <w:headerReference w:type="first" r:id="rId155"/>
          <w:footerReference w:type="first" r:id="rId156"/>
          <w:pgSz w:w="12240" w:h="15840"/>
          <w:pgMar w:top="840" w:right="1000" w:bottom="840" w:left="1000" w:header="400" w:footer="400" w:gutter="0"/>
          <w:cols w:space="720"/>
          <w:titlePg/>
        </w:sectPr>
      </w:pPr>
    </w:p>
    <w:p w:rsidR="007A6EB4" w:rsidRDefault="007A6EB4">
      <w:bookmarkStart w:id="25" w:name="Bookmark_25"/>
      <w:bookmarkEnd w:id="25"/>
    </w:p>
    <w:p w:rsidR="007A6EB4" w:rsidRDefault="006F3363">
      <w:r>
        <w:pict>
          <v:shape id="_x0000_i1049"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24</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B. Employment Practices Not Unlawful Under 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65" style="position:absolute;z-index:25168281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xml:space="preserve">§ 24 Conduct based on </w:t>
      </w:r>
      <w:r>
        <w:rPr>
          <w:rFonts w:ascii="Arial" w:eastAsia="Arial" w:hAnsi="Arial" w:cs="Arial"/>
          <w:b/>
          <w:color w:val="000000"/>
          <w:sz w:val="28"/>
        </w:rPr>
        <w:t>bona fide occupational qualification</w:t>
      </w:r>
    </w:p>
    <w:p w:rsidR="007A6EB4" w:rsidRDefault="006F3363">
      <w:pPr>
        <w:spacing w:line="60" w:lineRule="exact"/>
      </w:pPr>
      <w:r>
        <w:pict>
          <v:line id="_x0000_s1166" style="position:absolute;z-index:25172889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It is not an unlawful employment practice for an employer, employment agency, labor organization, or joint labor-management committee to take or fail to take any action on the basis of religion, sex, national origin,</w:t>
      </w:r>
      <w:r>
        <w:rPr>
          <w:rFonts w:ascii="Arial" w:eastAsia="Arial" w:hAnsi="Arial" w:cs="Arial"/>
          <w:color w:val="000000"/>
        </w:rPr>
        <w:t xml:space="preserve"> age, handicap, or marital status in those certain instances in which religion, sex, national origin, age, absence of a particular handicap, or marital status is a bona fide occupational qualification reasonably necessary for the performance of the particu</w:t>
      </w:r>
      <w:r>
        <w:rPr>
          <w:rFonts w:ascii="Arial" w:eastAsia="Arial" w:hAnsi="Arial" w:cs="Arial"/>
          <w:color w:val="000000"/>
        </w:rPr>
        <w:t>lar employment to which such action or inaction is related.</w:t>
      </w:r>
      <w:r>
        <w:rPr>
          <w:rFonts w:ascii="Arial" w:eastAsia="Arial" w:hAnsi="Arial" w:cs="Arial"/>
          <w:vertAlign w:val="superscript"/>
        </w:rPr>
        <w:footnoteReference w:customMarkFollows="1" w:id="207"/>
        <w:t>n1</w:t>
      </w:r>
    </w:p>
    <w:p w:rsidR="007A6EB4" w:rsidRDefault="006F3363">
      <w:pPr>
        <w:spacing w:before="200" w:line="300" w:lineRule="atLeast"/>
        <w:jc w:val="both"/>
      </w:pPr>
      <w:r>
        <w:rPr>
          <w:rFonts w:ascii="Arial" w:eastAsia="Arial" w:hAnsi="Arial" w:cs="Arial"/>
          <w:color w:val="000000"/>
        </w:rPr>
        <w:t>Illustration: A former detention officer who was morbidly obese and who suffered from osteoarthritis and hypertension was not qualified for a position as a detention officer, as required to supp</w:t>
      </w:r>
      <w:r>
        <w:rPr>
          <w:rFonts w:ascii="Arial" w:eastAsia="Arial" w:hAnsi="Arial" w:cs="Arial"/>
          <w:color w:val="000000"/>
        </w:rPr>
        <w:t>ort a claim of disability discrimination, where officers were required to meet or exceed minimum physical agility standards by completing a physical agility test, which included running, and the former officer's condition prevented her from running.</w:t>
      </w:r>
      <w:r>
        <w:rPr>
          <w:rFonts w:ascii="Arial" w:eastAsia="Arial" w:hAnsi="Arial" w:cs="Arial"/>
          <w:vertAlign w:val="superscript"/>
        </w:rPr>
        <w:footnoteReference w:customMarkFollows="1" w:id="208"/>
        <w:t>n2</w:t>
      </w:r>
    </w:p>
    <w:p w:rsidR="007A6EB4" w:rsidRDefault="006F3363">
      <w:pPr>
        <w:keepNext/>
        <w:spacing w:before="240" w:line="340" w:lineRule="atLeast"/>
      </w:pPr>
      <w:r>
        <w:br/>
      </w:r>
      <w:r>
        <w:rPr>
          <w:rFonts w:ascii="Arial" w:eastAsia="Arial" w:hAnsi="Arial" w:cs="Arial"/>
          <w:b/>
          <w:color w:val="000000"/>
          <w:sz w:val="28"/>
        </w:rPr>
        <w:t>Ref</w:t>
      </w:r>
      <w:r>
        <w:rPr>
          <w:rFonts w:ascii="Arial" w:eastAsia="Arial" w:hAnsi="Arial" w:cs="Arial"/>
          <w:b/>
          <w:color w:val="000000"/>
          <w:sz w:val="28"/>
        </w:rPr>
        <w:t>erence</w:t>
      </w:r>
    </w:p>
    <w:p w:rsidR="007A6EB4" w:rsidRDefault="006F3363">
      <w:pPr>
        <w:spacing w:line="60" w:lineRule="exact"/>
      </w:pPr>
      <w:r>
        <w:pict>
          <v:line id="_x0000_s1167" style="position:absolute;z-index:25177497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 1206, 1207, 1216 to 1218, 1225(1) to 1225(3), 1242 to 1245, 1261, 1262, 1536, 1544</w:t>
      </w:r>
      <w:r>
        <w:rPr>
          <w:rFonts w:ascii="Arial" w:eastAsia="Arial" w:hAnsi="Arial" w:cs="Arial"/>
          <w:color w:val="000000"/>
        </w:rPr>
        <w:t>,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lastRenderedPageBreak/>
        <w:t xml:space="preserve">West's Key Number Digest, Officers and Public </w:t>
      </w:r>
      <w:r>
        <w:rPr>
          <w:rFonts w:ascii="Arial" w:eastAsia="Arial" w:hAnsi="Arial" w:cs="Arial"/>
          <w:color w:val="000000"/>
        </w:rPr>
        <w:t>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w:t>
      </w:r>
      <w:r>
        <w:rPr>
          <w:rFonts w:ascii="Arial" w:eastAsia="Arial" w:hAnsi="Arial" w:cs="Arial"/>
          <w:color w:val="000000"/>
        </w:rPr>
        <w:t>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1024, 1104, 1107, 1111, 1113 to 1116, 1136 to </w:t>
      </w:r>
      <w:r>
        <w:rPr>
          <w:rFonts w:ascii="Arial" w:eastAsia="Arial" w:hAnsi="Arial" w:cs="Arial"/>
          <w:color w:val="000000"/>
        </w:rPr>
        <w:t>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w:t>
      </w:r>
      <w:r>
        <w:rPr>
          <w:rFonts w:ascii="Arial" w:eastAsia="Arial" w:hAnsi="Arial" w:cs="Arial"/>
          <w:color w:val="000000"/>
        </w:rPr>
        <w:t>.R.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w:t>
      </w:r>
      <w:r>
        <w:rPr>
          <w:rFonts w:ascii="Arial" w:eastAsia="Arial" w:hAnsi="Arial" w:cs="Arial"/>
          <w:color w:val="000000"/>
        </w:rPr>
        <w:t xml:space="preserve">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 xml:space="preserve">Litigating An Employment Discrimination Class Action, 97 </w:t>
      </w:r>
      <w:r>
        <w:rPr>
          <w:rFonts w:ascii="Arial" w:eastAsia="Arial" w:hAnsi="Arial" w:cs="Arial"/>
          <w:color w:val="000000"/>
        </w:rPr>
        <w:t>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 xml:space="preserve">Proof of Racial Discrimination in Employment Promotion Decisions Under Title VII of the </w:t>
      </w:r>
      <w:r>
        <w:rPr>
          <w:rFonts w:ascii="Arial" w:eastAsia="Arial" w:hAnsi="Arial" w:cs="Arial"/>
          <w:color w:val="000000"/>
        </w:rPr>
        <w:t>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w:t>
      </w:r>
      <w:r>
        <w:rPr>
          <w:rFonts w:ascii="Arial" w:eastAsia="Arial" w:hAnsi="Arial" w:cs="Arial"/>
          <w:color w:val="000000"/>
        </w:rPr>
        <w:t>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lastRenderedPageBreak/>
        <w:t>Employment Handicap Discrimination</w:t>
      </w:r>
      <w:r>
        <w:rPr>
          <w:rFonts w:ascii="Arial" w:eastAsia="Arial" w:hAnsi="Arial" w:cs="Arial"/>
          <w:color w:val="000000"/>
        </w:rPr>
        <w:t xml:space="preserve">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 xml:space="preserve">Disability Discrimination Based on </w:t>
      </w:r>
      <w:r>
        <w:rPr>
          <w:rFonts w:ascii="Arial" w:eastAsia="Arial" w:hAnsi="Arial" w:cs="Arial"/>
          <w:color w:val="000000"/>
        </w:rPr>
        <w:t>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w:t>
      </w:r>
      <w:r>
        <w:rPr>
          <w:rFonts w:ascii="Arial" w:eastAsia="Arial" w:hAnsi="Arial" w:cs="Arial"/>
          <w:color w:val="000000"/>
        </w:rPr>
        <w:t>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w:t>
      </w:r>
      <w:r>
        <w:rPr>
          <w:rFonts w:ascii="Arial" w:eastAsia="Arial" w:hAnsi="Arial" w:cs="Arial"/>
          <w:color w:val="000000"/>
        </w:rPr>
        <w:t xml:space="preserve">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1218(3), 1218(4)</w:t>
      </w:r>
    </w:p>
    <w:p w:rsidR="007A6EB4" w:rsidRDefault="006F3363">
      <w:pPr>
        <w:spacing w:before="120" w:line="300" w:lineRule="atLeast"/>
      </w:pPr>
      <w:r>
        <w:rPr>
          <w:rFonts w:ascii="Arial" w:eastAsia="Arial" w:hAnsi="Arial" w:cs="Arial"/>
          <w:color w:val="000000"/>
        </w:rPr>
        <w:t>Handicap as job disqualification under state legislation forbidd</w:t>
      </w:r>
      <w:r>
        <w:rPr>
          <w:rFonts w:ascii="Arial" w:eastAsia="Arial" w:hAnsi="Arial" w:cs="Arial"/>
          <w:color w:val="000000"/>
        </w:rPr>
        <w:t>ing job discrimination on account of handicap, 78 A.L.R.4th 265</w:t>
      </w:r>
    </w:p>
    <w:p w:rsidR="007A6EB4" w:rsidRDefault="006F3363">
      <w:pPr>
        <w:spacing w:before="120" w:line="300" w:lineRule="atLeast"/>
      </w:pPr>
      <w:r>
        <w:rPr>
          <w:rFonts w:ascii="Arial" w:eastAsia="Arial" w:hAnsi="Arial" w:cs="Arial"/>
          <w:color w:val="000000"/>
        </w:rPr>
        <w:t>Bona fide occupational qualification. Employment Handicap Discrimination Based on Gender Dysphoria (Transsexualism), 25 Am. Jur. Proof of Facts 3d 415 § 6</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68" style="position:absolute;z-index:25182105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760.10(8)(a</w:t>
      </w:r>
      <w:r>
        <w:rPr>
          <w:rFonts w:ascii="Arial" w:eastAsia="Arial" w:hAnsi="Arial" w:cs="Arial"/>
          <w:color w:val="000000"/>
        </w:rPr>
        <w:t>), Fla. Stat. was amended, effective July 1, 2015, to add an individual's pregnancy to the list of an individual's attributes serving as bases for exceptions where any of such attributes are a bona fide occupational qualification reasonably necessary for t</w:t>
      </w:r>
      <w:r>
        <w:rPr>
          <w:rFonts w:ascii="Arial" w:eastAsia="Arial" w:hAnsi="Arial" w:cs="Arial"/>
          <w:color w:val="000000"/>
        </w:rPr>
        <w:t>he performance of the particular employment to which such action or inaction is related..</w:t>
      </w:r>
    </w:p>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 xml:space="preserve">In a medical setting, the ability to ensure patient safety is, inherently, a component of every essential function of the job under the ADA and the </w:t>
      </w:r>
      <w:r>
        <w:rPr>
          <w:rFonts w:ascii="Arial" w:eastAsia="Arial" w:hAnsi="Arial" w:cs="Arial"/>
          <w:color w:val="000000"/>
        </w:rPr>
        <w:t>Florida Civil Rights Act (FCRA). Americans with Disabilities Act of 1990 § 101, 42 U.S.C.A. § 12111(8); Fla. Stat. Ann. § 760.01 et seq. Leme v. Southern Baptist Hospital of Florida, Inc., 248 F. Supp. 3d 1319 (M.D. Fla. 2017).</w:t>
      </w:r>
    </w:p>
    <w:p w:rsidR="007A6EB4" w:rsidRDefault="006F3363">
      <w:pPr>
        <w:spacing w:before="200" w:line="300" w:lineRule="atLeast"/>
        <w:jc w:val="both"/>
      </w:pPr>
      <w:r>
        <w:rPr>
          <w:rFonts w:ascii="Arial" w:eastAsia="Arial" w:hAnsi="Arial" w:cs="Arial"/>
          <w:color w:val="000000"/>
        </w:rPr>
        <w:t>Three emails from supervisor</w:t>
      </w:r>
      <w:r>
        <w:rPr>
          <w:rFonts w:ascii="Arial" w:eastAsia="Arial" w:hAnsi="Arial" w:cs="Arial"/>
          <w:color w:val="000000"/>
        </w:rPr>
        <w:t xml:space="preserve"> expressing dissatisfaction with service manager's perceived failure to return phone calls and emails while recuperating from surgery were not direct evidence of disability discrimination, as required for manager's action against service provider for heati</w:t>
      </w:r>
      <w:r>
        <w:rPr>
          <w:rFonts w:ascii="Arial" w:eastAsia="Arial" w:hAnsi="Arial" w:cs="Arial"/>
          <w:color w:val="000000"/>
        </w:rPr>
        <w:t xml:space="preserve">ng, ventilating and air conditioning (HVAC) systems, alleging violations of the Florida Civil Rights </w:t>
      </w:r>
      <w:r>
        <w:rPr>
          <w:rFonts w:ascii="Arial" w:eastAsia="Arial" w:hAnsi="Arial" w:cs="Arial"/>
          <w:color w:val="000000"/>
        </w:rPr>
        <w:lastRenderedPageBreak/>
        <w:t>Act (FCRA); emails demonstrated merely that supervisor was annoyed at manager for not returning her calls and emails by using reference to surgery as conte</w:t>
      </w:r>
      <w:r>
        <w:rPr>
          <w:rFonts w:ascii="Arial" w:eastAsia="Arial" w:hAnsi="Arial" w:cs="Arial"/>
          <w:color w:val="000000"/>
        </w:rPr>
        <w:t>xt. West's F.S.A. § 760.01 et seq. Carper v. TWC Services, Inc., 820 F. Supp. 2d 1339 (S.D. Fla. 2011).</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69" style="position:absolute;left:0;text-align:left;z-index:25186201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57"/>
          <w:headerReference w:type="default" r:id="rId158"/>
          <w:footerReference w:type="even" r:id="rId159"/>
          <w:footerReference w:type="default" r:id="rId160"/>
          <w:headerReference w:type="first" r:id="rId161"/>
          <w:footerReference w:type="first" r:id="rId162"/>
          <w:pgSz w:w="12240" w:h="15840"/>
          <w:pgMar w:top="840" w:right="1000" w:bottom="840" w:left="1000" w:header="400" w:footer="400" w:gutter="0"/>
          <w:cols w:space="720"/>
          <w:titlePg/>
        </w:sectPr>
      </w:pPr>
    </w:p>
    <w:p w:rsidR="007A6EB4" w:rsidRDefault="007A6EB4">
      <w:bookmarkStart w:id="26" w:name="Bookmark_26"/>
      <w:bookmarkEnd w:id="26"/>
    </w:p>
    <w:p w:rsidR="007A6EB4" w:rsidRDefault="006F3363">
      <w:r>
        <w:pict>
          <v:shape id="_x0000_i1050"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25</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 xml:space="preserve">B. Employment Practices Not Unlawful Under </w:t>
      </w:r>
      <w:r>
        <w:rPr>
          <w:rFonts w:ascii="Arial" w:eastAsia="Arial" w:hAnsi="Arial" w:cs="Arial"/>
          <w:b/>
          <w:i/>
          <w:color w:val="000000"/>
          <w:sz w:val="22"/>
        </w:rPr>
        <w:t>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71" style="position:absolute;z-index:25168384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25 Observation of terms of bona fide seniority system or employee benefit plan; program designed to benefit age group</w:t>
      </w:r>
    </w:p>
    <w:p w:rsidR="007A6EB4" w:rsidRDefault="006F3363">
      <w:pPr>
        <w:spacing w:line="60" w:lineRule="exact"/>
      </w:pPr>
      <w:r>
        <w:pict>
          <v:line id="_x0000_s1172" style="position:absolute;z-index:25172992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not an unlawful employment practice for an employer, </w:t>
      </w:r>
      <w:r>
        <w:rPr>
          <w:rFonts w:ascii="Arial" w:eastAsia="Arial" w:hAnsi="Arial" w:cs="Arial"/>
          <w:color w:val="000000"/>
        </w:rPr>
        <w:t>employment agency, labor organization, or joint labor-management committee to observe the terms of a bona fide seniority system or a bona fide employee benefit plan, such as a retirement, pension, or insurance plan, or a system measuring earnings by quanti</w:t>
      </w:r>
      <w:r>
        <w:rPr>
          <w:rFonts w:ascii="Arial" w:eastAsia="Arial" w:hAnsi="Arial" w:cs="Arial"/>
          <w:color w:val="000000"/>
        </w:rPr>
        <w:t>ty or quality of production that is not designed, intended, or used to evade the purposes of the statute.</w:t>
      </w:r>
      <w:r>
        <w:rPr>
          <w:rFonts w:ascii="Arial" w:eastAsia="Arial" w:hAnsi="Arial" w:cs="Arial"/>
          <w:vertAlign w:val="superscript"/>
        </w:rPr>
        <w:footnoteReference w:customMarkFollows="1" w:id="209"/>
        <w:t>n1</w:t>
      </w:r>
      <w:r>
        <w:rPr>
          <w:rFonts w:ascii="Arial" w:eastAsia="Arial" w:hAnsi="Arial" w:cs="Arial"/>
          <w:color w:val="000000"/>
        </w:rPr>
        <w:t xml:space="preserve"> However, no such employee plan or system that measures earnings may excuse the failure to hire, and no such seniority system, employee benefit plan,</w:t>
      </w:r>
      <w:r>
        <w:rPr>
          <w:rFonts w:ascii="Arial" w:eastAsia="Arial" w:hAnsi="Arial" w:cs="Arial"/>
          <w:color w:val="000000"/>
        </w:rPr>
        <w:t xml:space="preserve"> or system that measures earnings may excuse the involuntary retirement of an individual on the basis of any factor not related to the ability of the individual to perform the particular employment for which the individual has applied or in which the indiv</w:t>
      </w:r>
      <w:r>
        <w:rPr>
          <w:rFonts w:ascii="Arial" w:eastAsia="Arial" w:hAnsi="Arial" w:cs="Arial"/>
          <w:color w:val="000000"/>
        </w:rPr>
        <w:t>idual is engaged.</w:t>
      </w:r>
      <w:r>
        <w:rPr>
          <w:rFonts w:ascii="Arial" w:eastAsia="Arial" w:hAnsi="Arial" w:cs="Arial"/>
          <w:vertAlign w:val="superscript"/>
        </w:rPr>
        <w:footnoteReference w:customMarkFollows="1" w:id="210"/>
        <w:t>n2</w:t>
      </w:r>
      <w:r>
        <w:rPr>
          <w:rFonts w:ascii="Arial" w:eastAsia="Arial" w:hAnsi="Arial" w:cs="Arial"/>
          <w:color w:val="000000"/>
        </w:rPr>
        <w:t xml:space="preserve"> This provision does not preclude physical and medical examinations of applicants and employees that an employer may require of applicants and employees to determine fitness for the job or position sought or held.</w:t>
      </w:r>
      <w:r>
        <w:rPr>
          <w:rFonts w:ascii="Arial" w:eastAsia="Arial" w:hAnsi="Arial" w:cs="Arial"/>
          <w:vertAlign w:val="superscript"/>
        </w:rPr>
        <w:footnoteReference w:customMarkFollows="1" w:id="211"/>
        <w:t>n3</w:t>
      </w:r>
    </w:p>
    <w:p w:rsidR="007A6EB4" w:rsidRDefault="006F3363">
      <w:pPr>
        <w:spacing w:before="200" w:line="300" w:lineRule="atLeast"/>
        <w:jc w:val="both"/>
      </w:pPr>
      <w:r>
        <w:rPr>
          <w:rFonts w:ascii="Arial" w:eastAsia="Arial" w:hAnsi="Arial" w:cs="Arial"/>
          <w:color w:val="000000"/>
        </w:rPr>
        <w:t>Furthermore, it is no</w:t>
      </w:r>
      <w:r>
        <w:rPr>
          <w:rFonts w:ascii="Arial" w:eastAsia="Arial" w:hAnsi="Arial" w:cs="Arial"/>
          <w:color w:val="000000"/>
        </w:rPr>
        <w:t>t an unlawful employment practice to take or fail to take any action on the basis of age, pursuant to a law or regulation governing any employment or training program designed to benefit persons of a particular age group.</w:t>
      </w:r>
      <w:r>
        <w:rPr>
          <w:rFonts w:ascii="Arial" w:eastAsia="Arial" w:hAnsi="Arial" w:cs="Arial"/>
          <w:vertAlign w:val="superscript"/>
        </w:rPr>
        <w:footnoteReference w:customMarkFollows="1" w:id="212"/>
        <w:t>n4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73" style="position:absolute;z-index:25177600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w:t>
      </w:r>
      <w:r>
        <w:rPr>
          <w:rFonts w:ascii="Arial" w:eastAsia="Arial" w:hAnsi="Arial" w:cs="Arial"/>
          <w:color w:val="000000"/>
        </w:rPr>
        <w:t>Digest, Civil Rights [westkey]1009 to 1016, 1019(3), 1019(5), 1024, 1104, 1107, 1111, 1113 to 1116, 1136 to 1138, 1140, 1141, 1164 to 1190, 1196, 1206, 1207, 1216 to 1218, 1225(1) to 1225(3), 1242 to 1245, 1261, 1262, 1536, 1544, 1545, 1553, 1703, 1704, 17</w:t>
      </w:r>
      <w:r>
        <w:rPr>
          <w:rFonts w:ascii="Arial" w:eastAsia="Arial" w:hAnsi="Arial" w:cs="Arial"/>
          <w:color w:val="000000"/>
        </w:rPr>
        <w:t>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w:t>
      </w:r>
      <w:r>
        <w:rPr>
          <w:rFonts w:ascii="Arial" w:eastAsia="Arial" w:hAnsi="Arial" w:cs="Arial"/>
          <w:color w:val="000000"/>
        </w:rPr>
        <w:t>,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 xml:space="preserve">A.L.R. Index, </w:t>
      </w:r>
      <w:r>
        <w:rPr>
          <w:rFonts w:ascii="Arial" w:eastAsia="Arial" w:hAnsi="Arial" w:cs="Arial"/>
          <w:color w:val="000000"/>
        </w:rPr>
        <w:t>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1024, 1104, 1107, 1111, 1113 to 1116, 1136 to 1138, 1140, 1141, 1164 to 1190, </w:t>
      </w:r>
      <w:r>
        <w:rPr>
          <w:rFonts w:ascii="Arial" w:eastAsia="Arial" w:hAnsi="Arial" w:cs="Arial"/>
          <w:color w:val="000000"/>
        </w:rPr>
        <w:t>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w:t>
      </w:r>
      <w:r>
        <w:rPr>
          <w:rFonts w:ascii="Arial" w:eastAsia="Arial" w:hAnsi="Arial" w:cs="Arial"/>
          <w:color w:val="000000"/>
        </w:rPr>
        <w:t xml:space="preserve">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 xml:space="preserve">C.J.S., </w:t>
      </w:r>
      <w:r>
        <w:rPr>
          <w:rFonts w:ascii="Arial" w:eastAsia="Arial" w:hAnsi="Arial" w:cs="Arial"/>
          <w:color w:val="000000"/>
        </w:rPr>
        <w:t>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w:t>
      </w:r>
      <w:r>
        <w:rPr>
          <w:rFonts w:ascii="Arial" w:eastAsia="Arial" w:hAnsi="Arial" w:cs="Arial"/>
          <w:color w:val="000000"/>
        </w:rPr>
        <w:t xml:space="preserve">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w:t>
      </w:r>
      <w:r>
        <w:rPr>
          <w:rFonts w:ascii="Arial" w:eastAsia="Arial" w:hAnsi="Arial" w:cs="Arial"/>
          <w:color w:val="000000"/>
        </w:rPr>
        <w:t>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lastRenderedPageBreak/>
        <w:t>Sex Discrimination in Employment Promotion Practices, 46 Am. Jur. Proof of Facts 3d 9</w:t>
      </w:r>
      <w:r>
        <w:rPr>
          <w:rFonts w:ascii="Arial" w:eastAsia="Arial" w:hAnsi="Arial" w:cs="Arial"/>
          <w:color w:val="000000"/>
        </w:rPr>
        <w:t>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w:t>
      </w:r>
      <w:r>
        <w:rPr>
          <w:rFonts w:ascii="Arial" w:eastAsia="Arial" w:hAnsi="Arial" w:cs="Arial"/>
          <w:color w:val="000000"/>
        </w:rPr>
        <w:t>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w:t>
      </w:r>
      <w:r>
        <w:rPr>
          <w:rFonts w:ascii="Arial" w:eastAsia="Arial" w:hAnsi="Arial" w:cs="Arial"/>
          <w:color w:val="000000"/>
        </w:rPr>
        <w:t>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 xml:space="preserve">Sexual Harassment </w:t>
      </w:r>
      <w:r>
        <w:rPr>
          <w:rFonts w:ascii="Arial" w:eastAsia="Arial" w:hAnsi="Arial" w:cs="Arial"/>
          <w:color w:val="000000"/>
        </w:rPr>
        <w:t>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w:t>
      </w:r>
      <w:r>
        <w:rPr>
          <w:rFonts w:ascii="Arial" w:eastAsia="Arial" w:hAnsi="Arial" w:cs="Arial"/>
          <w:color w:val="000000"/>
        </w:rPr>
        <w:t>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[westkey]1107, 1114, 1141, 1206</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74" style="position:absolute;left:0;text-align:left;z-index:25182208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63"/>
          <w:headerReference w:type="default" r:id="rId164"/>
          <w:footerReference w:type="even" r:id="rId165"/>
          <w:footerReference w:type="default" r:id="rId166"/>
          <w:headerReference w:type="first" r:id="rId167"/>
          <w:footerReference w:type="first" r:id="rId168"/>
          <w:pgSz w:w="12240" w:h="15840"/>
          <w:pgMar w:top="840" w:right="1000" w:bottom="840" w:left="1000" w:header="400" w:footer="400" w:gutter="0"/>
          <w:cols w:space="720"/>
          <w:titlePg/>
        </w:sectPr>
      </w:pPr>
    </w:p>
    <w:p w:rsidR="007A6EB4" w:rsidRDefault="007A6EB4">
      <w:bookmarkStart w:id="27" w:name="Bookmark_27"/>
      <w:bookmarkEnd w:id="27"/>
    </w:p>
    <w:p w:rsidR="007A6EB4" w:rsidRDefault="006F3363">
      <w:r>
        <w:pict>
          <v:shape id="_x0000_i1051"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26</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 xml:space="preserve">1. In </w:t>
      </w:r>
      <w:r>
        <w:rPr>
          <w:rFonts w:ascii="Arial" w:eastAsia="Arial" w:hAnsi="Arial" w:cs="Arial"/>
          <w:b/>
          <w:i/>
          <w:color w:val="000000"/>
          <w:sz w:val="22"/>
        </w:rPr>
        <w:t>General</w:t>
      </w:r>
      <w:r>
        <w:rPr>
          <w:rFonts w:ascii="Arial" w:eastAsia="Arial" w:hAnsi="Arial" w:cs="Arial"/>
          <w:b/>
          <w:color w:val="000000"/>
          <w:sz w:val="22"/>
        </w:rPr>
        <w:t xml:space="preserve">  &gt;  </w:t>
      </w:r>
      <w:r>
        <w:rPr>
          <w:rFonts w:ascii="Arial" w:eastAsia="Arial" w:hAnsi="Arial" w:cs="Arial"/>
          <w:b/>
          <w:i/>
          <w:color w:val="000000"/>
          <w:sz w:val="22"/>
        </w:rPr>
        <w:t>B. Employment Practices Not Unlawful Under Florida Civil Rights Act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76" style="position:absolute;z-index:25168486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26 Action or inaction on basis of marital status prohibited under antinepotism policy</w:t>
      </w:r>
    </w:p>
    <w:p w:rsidR="007A6EB4" w:rsidRDefault="006F3363">
      <w:pPr>
        <w:spacing w:line="60" w:lineRule="exact"/>
      </w:pPr>
      <w:r>
        <w:pict>
          <v:line id="_x0000_s1177" style="position:absolute;z-index:25173094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not an unlawful employment </w:t>
      </w:r>
      <w:r>
        <w:rPr>
          <w:rFonts w:ascii="Arial" w:eastAsia="Arial" w:hAnsi="Arial" w:cs="Arial"/>
          <w:color w:val="000000"/>
        </w:rPr>
        <w:t>practice for an employer, employment agency, labor organization, or joint labor-management committee to take or fail to take any action on the basis of marital status if that status is prohibited under its antinepotism policy.</w:t>
      </w:r>
      <w:r>
        <w:rPr>
          <w:rFonts w:ascii="Arial" w:eastAsia="Arial" w:hAnsi="Arial" w:cs="Arial"/>
          <w:vertAlign w:val="superscript"/>
        </w:rPr>
        <w:footnoteReference w:customMarkFollows="1" w:id="213"/>
        <w:t>n1</w:t>
      </w:r>
    </w:p>
    <w:p w:rsidR="007A6EB4" w:rsidRDefault="006F3363">
      <w:pPr>
        <w:spacing w:before="200" w:line="300" w:lineRule="atLeast"/>
        <w:jc w:val="both"/>
      </w:pPr>
      <w:r>
        <w:rPr>
          <w:rFonts w:ascii="Arial" w:eastAsia="Arial" w:hAnsi="Arial" w:cs="Arial"/>
          <w:color w:val="000000"/>
        </w:rPr>
        <w:t>Definition: As used for suc</w:t>
      </w:r>
      <w:r>
        <w:rPr>
          <w:rFonts w:ascii="Arial" w:eastAsia="Arial" w:hAnsi="Arial" w:cs="Arial"/>
          <w:color w:val="000000"/>
        </w:rPr>
        <w:t>h purposes, the term "marital status" means the state of being married, single, divorced, widowed, or separated and does not include the specific identity or actions of an individual's spouse.</w:t>
      </w:r>
      <w:r>
        <w:rPr>
          <w:rFonts w:ascii="Arial" w:eastAsia="Arial" w:hAnsi="Arial" w:cs="Arial"/>
          <w:vertAlign w:val="superscript"/>
        </w:rPr>
        <w:footnoteReference w:customMarkFollows="1" w:id="214"/>
        <w:t>n2</w:t>
      </w:r>
    </w:p>
    <w:p w:rsidR="007A6EB4" w:rsidRDefault="006F3363">
      <w:pPr>
        <w:spacing w:before="200" w:line="300" w:lineRule="atLeast"/>
        <w:jc w:val="both"/>
      </w:pPr>
      <w:r>
        <w:rPr>
          <w:rFonts w:ascii="Arial" w:eastAsia="Arial" w:hAnsi="Arial" w:cs="Arial"/>
          <w:color w:val="000000"/>
        </w:rPr>
        <w:t>The provision is intended to protect employers who utilize su</w:t>
      </w:r>
      <w:r>
        <w:rPr>
          <w:rFonts w:ascii="Arial" w:eastAsia="Arial" w:hAnsi="Arial" w:cs="Arial"/>
          <w:color w:val="000000"/>
        </w:rPr>
        <w:t>ch policies from any liability for terminating or refusing to hire a person because that person is married to another employee.</w:t>
      </w:r>
      <w:r>
        <w:rPr>
          <w:rFonts w:ascii="Arial" w:eastAsia="Arial" w:hAnsi="Arial" w:cs="Arial"/>
          <w:vertAlign w:val="superscript"/>
        </w:rPr>
        <w:footnoteReference w:customMarkFollows="1" w:id="215"/>
        <w:t>n3</w:t>
      </w:r>
      <w:r>
        <w:rPr>
          <w:rFonts w:ascii="Arial" w:eastAsia="Arial" w:hAnsi="Arial" w:cs="Arial"/>
          <w:color w:val="000000"/>
        </w:rPr>
        <w:t xml:space="preserve"> In addition, a valid employment discrimination claim cannot arise on the basis of the specific identity of an individual's spo</w:t>
      </w:r>
      <w:r>
        <w:rPr>
          <w:rFonts w:ascii="Arial" w:eastAsia="Arial" w:hAnsi="Arial" w:cs="Arial"/>
          <w:color w:val="000000"/>
        </w:rPr>
        <w:t>use.</w:t>
      </w:r>
      <w:r>
        <w:rPr>
          <w:rFonts w:ascii="Arial" w:eastAsia="Arial" w:hAnsi="Arial" w:cs="Arial"/>
          <w:vertAlign w:val="superscript"/>
        </w:rPr>
        <w:footnoteReference w:customMarkFollows="1" w:id="216"/>
        <w:t>n4</w:t>
      </w:r>
    </w:p>
    <w:p w:rsidR="007A6EB4" w:rsidRDefault="006F3363">
      <w:pPr>
        <w:spacing w:before="200" w:line="300" w:lineRule="atLeast"/>
        <w:jc w:val="both"/>
      </w:pPr>
      <w:r>
        <w:rPr>
          <w:rFonts w:ascii="Arial" w:eastAsia="Arial" w:hAnsi="Arial" w:cs="Arial"/>
          <w:color w:val="000000"/>
        </w:rPr>
        <w:t>Illustration: An employee who was terminated because she married one of the three hands-onpartners who operated the employer was not a victim of employment discrimination, so as to beentitled to damages, where the termination was not based on the em</w:t>
      </w:r>
      <w:r>
        <w:rPr>
          <w:rFonts w:ascii="Arial" w:eastAsia="Arial" w:hAnsi="Arial" w:cs="Arial"/>
          <w:color w:val="000000"/>
        </w:rPr>
        <w:t>ployee's membership in theprotected class of married persons but on the specific identity of her spouse.</w:t>
      </w:r>
      <w:r>
        <w:rPr>
          <w:rFonts w:ascii="Arial" w:eastAsia="Arial" w:hAnsi="Arial" w:cs="Arial"/>
          <w:vertAlign w:val="superscript"/>
        </w:rPr>
        <w:footnoteReference w:customMarkFollows="1" w:id="217"/>
        <w:t>n5</w:t>
      </w:r>
    </w:p>
    <w:p w:rsidR="007A6EB4" w:rsidRDefault="006F3363">
      <w:pPr>
        <w:spacing w:before="200" w:line="300" w:lineRule="atLeast"/>
        <w:jc w:val="both"/>
      </w:pPr>
      <w:r>
        <w:rPr>
          <w:rFonts w:ascii="Arial" w:eastAsia="Arial" w:hAnsi="Arial" w:cs="Arial"/>
          <w:color w:val="000000"/>
        </w:rPr>
        <w:lastRenderedPageBreak/>
        <w:t>The Florida Civil Rights Act does not recognize a cause of action for marital-status discrimination where the discrimination is allegedly based on th</w:t>
      </w:r>
      <w:r>
        <w:rPr>
          <w:rFonts w:ascii="Arial" w:eastAsia="Arial" w:hAnsi="Arial" w:cs="Arial"/>
          <w:color w:val="000000"/>
        </w:rPr>
        <w:t>e actions of the claimant's spouse rather than on the marital status of the claimant.</w:t>
      </w:r>
      <w:r>
        <w:rPr>
          <w:rFonts w:ascii="Arial" w:eastAsia="Arial" w:hAnsi="Arial" w:cs="Arial"/>
          <w:vertAlign w:val="superscript"/>
        </w:rPr>
        <w:footnoteReference w:customMarkFollows="1" w:id="218"/>
        <w:t>n6</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78" style="position:absolute;z-index:25177702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w:t>
      </w:r>
      <w:r>
        <w:rPr>
          <w:rFonts w:ascii="Arial" w:eastAsia="Arial" w:hAnsi="Arial" w:cs="Arial"/>
          <w:color w:val="000000"/>
        </w:rPr>
        <w:t>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w:t>
      </w:r>
      <w:r>
        <w:rPr>
          <w:rFonts w:ascii="Arial" w:eastAsia="Arial" w:hAnsi="Arial" w:cs="Arial"/>
          <w:color w:val="000000"/>
        </w:rPr>
        <w:t>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w:t>
      </w:r>
      <w:r>
        <w:rPr>
          <w:rFonts w:ascii="Arial" w:eastAsia="Arial" w:hAnsi="Arial" w:cs="Arial"/>
          <w:color w:val="000000"/>
        </w:rPr>
        <w:t>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t>
      </w:r>
      <w:r>
        <w:rPr>
          <w:rFonts w:ascii="Arial" w:eastAsia="Arial" w:hAnsi="Arial" w:cs="Arial"/>
          <w:color w:val="000000"/>
        </w:rPr>
        <w:t>[westkey]1009 to 1016, 1019(3), 1019(5), 1024, 1104, 1107, 1111, 1113 to 1116, 1136 to 1138, 1140, 1141, 1164 to 1190, 1196, 1206, 1207, 1216 to 1218, 1225(1) to 1225(3), 1242 to 1245, 1261, 1262, 1536, 1544, 1545, 1553, 1703, 1704, 1710, 1720, 1727 to 172</w:t>
      </w:r>
      <w:r>
        <w:rPr>
          <w:rFonts w:ascii="Arial" w:eastAsia="Arial" w:hAnsi="Arial" w:cs="Arial"/>
          <w:color w:val="000000"/>
        </w:rPr>
        <w:t>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 xml:space="preserve">West's A.L.R. Digest, </w:t>
      </w:r>
      <w:r>
        <w:rPr>
          <w:rFonts w:ascii="Arial" w:eastAsia="Arial" w:hAnsi="Arial" w:cs="Arial"/>
          <w:color w:val="000000"/>
        </w:rPr>
        <w:t>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 xml:space="preserve">Employment Discrimination Against Obese </w:t>
      </w:r>
      <w:r>
        <w:rPr>
          <w:rFonts w:ascii="Arial" w:eastAsia="Arial" w:hAnsi="Arial" w:cs="Arial"/>
          <w:color w:val="000000"/>
        </w:rPr>
        <w:t>Persons, 111 Am. Jur. Proof of Facts 3d 391</w:t>
      </w:r>
    </w:p>
    <w:p w:rsidR="007A6EB4" w:rsidRDefault="006F3363">
      <w:pPr>
        <w:spacing w:before="120" w:line="300" w:lineRule="atLeast"/>
      </w:pPr>
      <w:r>
        <w:rPr>
          <w:rFonts w:ascii="Arial" w:eastAsia="Arial" w:hAnsi="Arial" w:cs="Arial"/>
          <w:color w:val="000000"/>
        </w:rPr>
        <w:lastRenderedPageBreak/>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w:t>
      </w:r>
      <w:r>
        <w:rPr>
          <w:rFonts w:ascii="Arial" w:eastAsia="Arial" w:hAnsi="Arial" w:cs="Arial"/>
          <w:color w:val="000000"/>
        </w:rPr>
        <w:t>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w:t>
      </w:r>
      <w:r>
        <w:rPr>
          <w:rFonts w:ascii="Arial" w:eastAsia="Arial" w:hAnsi="Arial" w:cs="Arial"/>
          <w:color w:val="000000"/>
        </w:rPr>
        <w:t>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w:t>
      </w:r>
      <w:r>
        <w:rPr>
          <w:rFonts w:ascii="Arial" w:eastAsia="Arial" w:hAnsi="Arial" w:cs="Arial"/>
          <w:color w:val="000000"/>
        </w:rPr>
        <w:t>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w:t>
      </w:r>
      <w:r>
        <w:rPr>
          <w:rFonts w:ascii="Arial" w:eastAsia="Arial" w:hAnsi="Arial" w:cs="Arial"/>
          <w:color w:val="000000"/>
        </w:rPr>
        <w:t xml:space="preserve">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w:t>
      </w:r>
      <w:r>
        <w:rPr>
          <w:rFonts w:ascii="Arial" w:eastAsia="Arial" w:hAnsi="Arial" w:cs="Arial"/>
          <w:color w:val="000000"/>
        </w:rPr>
        <w:t>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w:t>
      </w:r>
      <w:r>
        <w:rPr>
          <w:rFonts w:ascii="Arial" w:eastAsia="Arial" w:hAnsi="Arial" w:cs="Arial"/>
          <w:color w:val="000000"/>
        </w:rPr>
        <w:t xml:space="preserv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 xml:space="preserve">West's Key Number Digest, Civil </w:t>
      </w:r>
      <w:r>
        <w:rPr>
          <w:rFonts w:ascii="Arial" w:eastAsia="Arial" w:hAnsi="Arial" w:cs="Arial"/>
          <w:color w:val="000000"/>
        </w:rPr>
        <w:t>Rights [westkey]1013, 1196</w:t>
      </w:r>
    </w:p>
    <w:p w:rsidR="007A6EB4" w:rsidRDefault="006F3363">
      <w:pPr>
        <w:spacing w:before="120" w:line="300" w:lineRule="atLeast"/>
      </w:pPr>
      <w:r>
        <w:rPr>
          <w:rFonts w:ascii="Arial" w:eastAsia="Arial" w:hAnsi="Arial" w:cs="Arial"/>
          <w:color w:val="000000"/>
        </w:rPr>
        <w:t>Federal and State Constitutional Provisions and State Statutes as Prohibiting Employment Discrimination Based on Heterosexual Conduct or Relationship, 123 A.L.R.5th 411</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w:t>
      </w:r>
      <w:r>
        <w:rPr>
          <w:rFonts w:ascii="Arial" w:eastAsia="Arial" w:hAnsi="Arial" w:cs="Arial"/>
          <w:color w:val="000000"/>
          <w:sz w:val="20"/>
        </w:rPr>
        <w:t>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79" style="position:absolute;left:0;text-align:left;z-index:25182310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69"/>
          <w:headerReference w:type="default" r:id="rId170"/>
          <w:footerReference w:type="even" r:id="rId171"/>
          <w:footerReference w:type="default" r:id="rId172"/>
          <w:headerReference w:type="first" r:id="rId173"/>
          <w:footerReference w:type="first" r:id="rId174"/>
          <w:pgSz w:w="12240" w:h="15840"/>
          <w:pgMar w:top="840" w:right="1000" w:bottom="840" w:left="1000" w:header="400" w:footer="400" w:gutter="0"/>
          <w:cols w:space="720"/>
          <w:titlePg/>
        </w:sectPr>
      </w:pPr>
    </w:p>
    <w:p w:rsidR="007A6EB4" w:rsidRDefault="007A6EB4">
      <w:bookmarkStart w:id="28" w:name="Bookmark_28"/>
      <w:bookmarkEnd w:id="28"/>
    </w:p>
    <w:p w:rsidR="007A6EB4" w:rsidRDefault="006F3363">
      <w:r>
        <w:pict>
          <v:shape id="_x0000_i1052"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27</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 xml:space="preserve">B. </w:t>
      </w:r>
      <w:r>
        <w:rPr>
          <w:rFonts w:ascii="Arial" w:eastAsia="Arial" w:hAnsi="Arial" w:cs="Arial"/>
          <w:b/>
          <w:i/>
          <w:color w:val="000000"/>
          <w:sz w:val="22"/>
        </w:rPr>
        <w:t>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C. Stating Employment Discrimination Case; Defenses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81" style="position:absolute;z-index:25168588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27 Stating employment discrimination case</w:t>
      </w:r>
    </w:p>
    <w:p w:rsidR="007A6EB4" w:rsidRDefault="006F3363">
      <w:pPr>
        <w:spacing w:line="60" w:lineRule="exact"/>
      </w:pPr>
      <w:r>
        <w:pict>
          <v:line id="_x0000_s1182" style="position:absolute;z-index:25173196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There are two different avenues upon which a plaintiff may </w:t>
      </w:r>
      <w:r>
        <w:rPr>
          <w:rFonts w:ascii="Arial" w:eastAsia="Arial" w:hAnsi="Arial" w:cs="Arial"/>
          <w:color w:val="000000"/>
        </w:rPr>
        <w:t>allege intentional employment discrimination: (1) disparate treatment and (2) pattern or practice discrimination.</w:t>
      </w:r>
      <w:r>
        <w:rPr>
          <w:rFonts w:ascii="Arial" w:eastAsia="Arial" w:hAnsi="Arial" w:cs="Arial"/>
          <w:vertAlign w:val="superscript"/>
        </w:rPr>
        <w:footnoteReference w:customMarkFollows="1" w:id="219"/>
        <w:t>n1</w:t>
      </w:r>
      <w:r>
        <w:rPr>
          <w:rFonts w:ascii="Arial" w:eastAsia="Arial" w:hAnsi="Arial" w:cs="Arial"/>
          <w:color w:val="000000"/>
        </w:rPr>
        <w:t xml:space="preserve"> A prima facie case of employment discrimination based on disparate treatment may be established by showing that:</w:t>
      </w:r>
      <w:r>
        <w:rPr>
          <w:rFonts w:ascii="Arial" w:eastAsia="Arial" w:hAnsi="Arial" w:cs="Arial"/>
          <w:vertAlign w:val="superscript"/>
        </w:rPr>
        <w:footnoteReference w:customMarkFollows="1" w:id="220"/>
        <w:t>n2</w:t>
      </w:r>
    </w:p>
    <w:p w:rsidR="007A6EB4" w:rsidRDefault="006F3363">
      <w:pPr>
        <w:spacing w:before="200" w:line="300" w:lineRule="atLeast"/>
        <w:jc w:val="both"/>
      </w:pPr>
      <w:r>
        <w:rPr>
          <w:rFonts w:ascii="Arial" w:eastAsia="Arial" w:hAnsi="Arial" w:cs="Arial"/>
          <w:color w:val="000000"/>
        </w:rPr>
        <w:t>.the plaintiff belongs to</w:t>
      </w:r>
      <w:r>
        <w:rPr>
          <w:rFonts w:ascii="Arial" w:eastAsia="Arial" w:hAnsi="Arial" w:cs="Arial"/>
          <w:color w:val="000000"/>
        </w:rPr>
        <w:t xml:space="preserve"> a protected group</w:t>
      </w:r>
    </w:p>
    <w:p w:rsidR="007A6EB4" w:rsidRDefault="006F3363">
      <w:pPr>
        <w:spacing w:before="200" w:line="300" w:lineRule="atLeast"/>
        <w:jc w:val="both"/>
      </w:pPr>
      <w:r>
        <w:rPr>
          <w:rFonts w:ascii="Arial" w:eastAsia="Arial" w:hAnsi="Arial" w:cs="Arial"/>
          <w:color w:val="000000"/>
        </w:rPr>
        <w:t>.the plaintiff applied for and was qualified for the job for which the employer was seeking applicants or that the plaintiff was qualified for and adequately performed the job</w:t>
      </w:r>
    </w:p>
    <w:p w:rsidR="007A6EB4" w:rsidRDefault="006F3363">
      <w:pPr>
        <w:spacing w:before="200" w:line="300" w:lineRule="atLeast"/>
        <w:jc w:val="both"/>
      </w:pPr>
      <w:r>
        <w:rPr>
          <w:rFonts w:ascii="Arial" w:eastAsia="Arial" w:hAnsi="Arial" w:cs="Arial"/>
          <w:color w:val="000000"/>
        </w:rPr>
        <w:t>.the plaintiff was terminated or rejected despite being quali</w:t>
      </w:r>
      <w:r>
        <w:rPr>
          <w:rFonts w:ascii="Arial" w:eastAsia="Arial" w:hAnsi="Arial" w:cs="Arial"/>
          <w:color w:val="000000"/>
        </w:rPr>
        <w:t>fied</w:t>
      </w:r>
    </w:p>
    <w:p w:rsidR="007A6EB4" w:rsidRDefault="006F3363">
      <w:pPr>
        <w:spacing w:before="200" w:line="300" w:lineRule="atLeast"/>
        <w:jc w:val="both"/>
      </w:pPr>
      <w:r>
        <w:rPr>
          <w:rFonts w:ascii="Arial" w:eastAsia="Arial" w:hAnsi="Arial" w:cs="Arial"/>
          <w:color w:val="000000"/>
        </w:rPr>
        <w:t>.after rejection or termination, the position remained open and the employer continued to need or seek applicants with the plaintiff's qualifications, or others not in the protected class were treated more favorably</w:t>
      </w:r>
    </w:p>
    <w:p w:rsidR="007A6EB4" w:rsidRDefault="006F3363">
      <w:pPr>
        <w:spacing w:before="200" w:line="300" w:lineRule="atLeast"/>
        <w:jc w:val="both"/>
      </w:pPr>
      <w:r>
        <w:rPr>
          <w:rFonts w:ascii="Arial" w:eastAsia="Arial" w:hAnsi="Arial" w:cs="Arial"/>
          <w:color w:val="000000"/>
        </w:rPr>
        <w:t>Illustration: A police lieutenant p</w:t>
      </w:r>
      <w:r>
        <w:rPr>
          <w:rFonts w:ascii="Arial" w:eastAsia="Arial" w:hAnsi="Arial" w:cs="Arial"/>
          <w:color w:val="000000"/>
        </w:rPr>
        <w:t>resented a prima facie case of disability discrimination, relating to a city's failure to promote him to a position as neighborhood enhancement team commander (NET commander), where the lieutenant presented evidence that he had Parkinson's disease, that he</w:t>
      </w:r>
      <w:r>
        <w:rPr>
          <w:rFonts w:ascii="Arial" w:eastAsia="Arial" w:hAnsi="Arial" w:cs="Arial"/>
          <w:color w:val="000000"/>
        </w:rPr>
        <w:t xml:space="preserve"> was qualified to serve as NET commander, and that he applied for the position, but the position was filled with other individuals with qualifications similar to those of the lieutenant.</w:t>
      </w:r>
      <w:r>
        <w:rPr>
          <w:rFonts w:ascii="Arial" w:eastAsia="Arial" w:hAnsi="Arial" w:cs="Arial"/>
          <w:vertAlign w:val="superscript"/>
        </w:rPr>
        <w:footnoteReference w:customMarkFollows="1" w:id="221"/>
        <w:t>n3</w:t>
      </w:r>
    </w:p>
    <w:p w:rsidR="007A6EB4" w:rsidRDefault="006F3363">
      <w:pPr>
        <w:spacing w:before="200" w:line="300" w:lineRule="atLeast"/>
        <w:jc w:val="both"/>
      </w:pPr>
      <w:r>
        <w:rPr>
          <w:rFonts w:ascii="Arial" w:eastAsia="Arial" w:hAnsi="Arial" w:cs="Arial"/>
          <w:color w:val="000000"/>
        </w:rPr>
        <w:lastRenderedPageBreak/>
        <w:t>In determining whether employees are similarly situated for purpose</w:t>
      </w:r>
      <w:r>
        <w:rPr>
          <w:rFonts w:ascii="Arial" w:eastAsia="Arial" w:hAnsi="Arial" w:cs="Arial"/>
          <w:color w:val="000000"/>
        </w:rPr>
        <w:t>s of establishing a prima facie case of discrimination, it is necessary to consider whether the employees are involved in or accused of the same or similar conduct and are disciplined in different ways.</w:t>
      </w:r>
      <w:r>
        <w:rPr>
          <w:rFonts w:ascii="Arial" w:eastAsia="Arial" w:hAnsi="Arial" w:cs="Arial"/>
          <w:vertAlign w:val="superscript"/>
        </w:rPr>
        <w:footnoteReference w:customMarkFollows="1" w:id="222"/>
        <w:t>n4</w:t>
      </w:r>
      <w:r>
        <w:rPr>
          <w:rFonts w:ascii="Arial" w:eastAsia="Arial" w:hAnsi="Arial" w:cs="Arial"/>
          <w:color w:val="000000"/>
        </w:rPr>
        <w:t xml:space="preserve"> The quantity and quality of the comparator's miscon</w:t>
      </w:r>
      <w:r>
        <w:rPr>
          <w:rFonts w:ascii="Arial" w:eastAsia="Arial" w:hAnsi="Arial" w:cs="Arial"/>
          <w:color w:val="000000"/>
        </w:rPr>
        <w:t>duct must be nearly identical to prevent courts from second-guessing employers' reasonable decisions and confusing apples with oranges.</w:t>
      </w:r>
      <w:r>
        <w:rPr>
          <w:rFonts w:ascii="Arial" w:eastAsia="Arial" w:hAnsi="Arial" w:cs="Arial"/>
          <w:vertAlign w:val="superscript"/>
        </w:rPr>
        <w:footnoteReference w:customMarkFollows="1" w:id="223"/>
        <w:t>n5</w:t>
      </w:r>
      <w:r>
        <w:rPr>
          <w:rFonts w:ascii="Arial" w:eastAsia="Arial" w:hAnsi="Arial" w:cs="Arial"/>
          <w:color w:val="000000"/>
        </w:rPr>
        <w:t xml:space="preserve"> Similarly situated employees must have reported to the same supervisor as the plaintiff, must have been subject to the</w:t>
      </w:r>
      <w:r>
        <w:rPr>
          <w:rFonts w:ascii="Arial" w:eastAsia="Arial" w:hAnsi="Arial" w:cs="Arial"/>
          <w:color w:val="000000"/>
        </w:rPr>
        <w:t xml:space="preserve"> same standards governing performance evaluation and discipline, and must have engaged in conduct similar to the plaintiff's without such differentiating conduct that would distinguish their conduct or the appropriate discipline for it.</w:t>
      </w:r>
      <w:r>
        <w:rPr>
          <w:rFonts w:ascii="Arial" w:eastAsia="Arial" w:hAnsi="Arial" w:cs="Arial"/>
          <w:vertAlign w:val="superscript"/>
        </w:rPr>
        <w:footnoteReference w:customMarkFollows="1" w:id="224"/>
        <w:t>n6</w:t>
      </w:r>
      <w:r>
        <w:rPr>
          <w:rFonts w:ascii="Arial" w:eastAsia="Arial" w:hAnsi="Arial" w:cs="Arial"/>
          <w:color w:val="000000"/>
        </w:rPr>
        <w:t xml:space="preserve"> If a plaintiff al</w:t>
      </w:r>
      <w:r>
        <w:rPr>
          <w:rFonts w:ascii="Arial" w:eastAsia="Arial" w:hAnsi="Arial" w:cs="Arial"/>
          <w:color w:val="000000"/>
        </w:rPr>
        <w:t>leging employment discrimination fails to present sufficient evidence that a nonprotected, similarly situated employee was treated more favorably by the employer, the defendant is entitled to summary judgment.</w:t>
      </w:r>
      <w:r>
        <w:rPr>
          <w:rFonts w:ascii="Arial" w:eastAsia="Arial" w:hAnsi="Arial" w:cs="Arial"/>
          <w:vertAlign w:val="superscript"/>
        </w:rPr>
        <w:footnoteReference w:customMarkFollows="1" w:id="225"/>
        <w:t>n7</w:t>
      </w:r>
    </w:p>
    <w:p w:rsidR="007A6EB4" w:rsidRDefault="006F3363">
      <w:pPr>
        <w:spacing w:before="200" w:line="300" w:lineRule="atLeast"/>
        <w:jc w:val="both"/>
      </w:pPr>
      <w:r>
        <w:rPr>
          <w:rFonts w:ascii="Arial" w:eastAsia="Arial" w:hAnsi="Arial" w:cs="Arial"/>
          <w:color w:val="000000"/>
        </w:rPr>
        <w:t>Discrimination may also be proven by showing</w:t>
      </w:r>
      <w:r>
        <w:rPr>
          <w:rFonts w:ascii="Arial" w:eastAsia="Arial" w:hAnsi="Arial" w:cs="Arial"/>
          <w:color w:val="000000"/>
        </w:rPr>
        <w:t xml:space="preserve"> the disparate impact of an employer's practices that are fair in form but discriminatory in operation.</w:t>
      </w:r>
      <w:r>
        <w:rPr>
          <w:rFonts w:ascii="Arial" w:eastAsia="Arial" w:hAnsi="Arial" w:cs="Arial"/>
          <w:vertAlign w:val="superscript"/>
        </w:rPr>
        <w:footnoteReference w:customMarkFollows="1" w:id="226"/>
        <w:t>n8</w:t>
      </w:r>
      <w:r>
        <w:rPr>
          <w:rFonts w:ascii="Arial" w:eastAsia="Arial" w:hAnsi="Arial" w:cs="Arial"/>
          <w:color w:val="000000"/>
        </w:rPr>
        <w:t xml:space="preserve"> To establish a prima facie case of disparate impact in the hiring context under the Florida Civil Rights Act, the plaintiff must identify a specific e</w:t>
      </w:r>
      <w:r>
        <w:rPr>
          <w:rFonts w:ascii="Arial" w:eastAsia="Arial" w:hAnsi="Arial" w:cs="Arial"/>
          <w:color w:val="000000"/>
        </w:rPr>
        <w:t xml:space="preserve">mployment practice or selection criteria being challenged, show a disparate impact by proving a pattern or practice of hiring sufficiently different from that of the pool of qualified applicants, and prove causation by presenting statistical evidence of a </w:t>
      </w:r>
      <w:r>
        <w:rPr>
          <w:rFonts w:ascii="Arial" w:eastAsia="Arial" w:hAnsi="Arial" w:cs="Arial"/>
          <w:color w:val="000000"/>
        </w:rPr>
        <w:t>kind and degree sufficient to show that the practice in question has in fact caused the exclusion of applicants because of their membership in protected group.</w:t>
      </w:r>
      <w:r>
        <w:rPr>
          <w:rFonts w:ascii="Arial" w:eastAsia="Arial" w:hAnsi="Arial" w:cs="Arial"/>
          <w:vertAlign w:val="superscript"/>
        </w:rPr>
        <w:footnoteReference w:customMarkFollows="1" w:id="227"/>
        <w:t>n9</w:t>
      </w:r>
      <w:r>
        <w:rPr>
          <w:rFonts w:ascii="Arial" w:eastAsia="Arial" w:hAnsi="Arial" w:cs="Arial"/>
          <w:color w:val="000000"/>
        </w:rPr>
        <w:t xml:space="preserve"> An adverse effect on a single employee, or even a few employees, is not sufficient to establis</w:t>
      </w:r>
      <w:r>
        <w:rPr>
          <w:rFonts w:ascii="Arial" w:eastAsia="Arial" w:hAnsi="Arial" w:cs="Arial"/>
          <w:color w:val="000000"/>
        </w:rPr>
        <w:t>h disparate impact discrimination.</w:t>
      </w:r>
      <w:r>
        <w:rPr>
          <w:rFonts w:ascii="Arial" w:eastAsia="Arial" w:hAnsi="Arial" w:cs="Arial"/>
          <w:vertAlign w:val="superscript"/>
        </w:rPr>
        <w:footnoteReference w:customMarkFollows="1" w:id="228"/>
        <w:t>n10</w:t>
      </w:r>
    </w:p>
    <w:p w:rsidR="007A6EB4" w:rsidRDefault="006F3363">
      <w:pPr>
        <w:spacing w:before="200" w:line="300" w:lineRule="atLeast"/>
        <w:jc w:val="both"/>
      </w:pPr>
      <w:r>
        <w:rPr>
          <w:rFonts w:ascii="Arial" w:eastAsia="Arial" w:hAnsi="Arial" w:cs="Arial"/>
          <w:color w:val="000000"/>
        </w:rPr>
        <w:t>Practice Tip: In a disparate treatment case under the Florida Civil Rights Act, a plaintiff can make out prima facie case merely by presenting evidence sufficient to give rise to an inference of discrimination;</w:t>
      </w:r>
      <w:r>
        <w:rPr>
          <w:rFonts w:ascii="Arial" w:eastAsia="Arial" w:hAnsi="Arial" w:cs="Arial"/>
          <w:vertAlign w:val="superscript"/>
        </w:rPr>
        <w:footnoteReference w:customMarkFollows="1" w:id="229"/>
        <w:t>n11</w:t>
      </w:r>
      <w:r>
        <w:rPr>
          <w:rFonts w:ascii="Arial" w:eastAsia="Arial" w:hAnsi="Arial" w:cs="Arial"/>
          <w:color w:val="000000"/>
        </w:rPr>
        <w:t xml:space="preserve"> by c</w:t>
      </w:r>
      <w:r>
        <w:rPr>
          <w:rFonts w:ascii="Arial" w:eastAsia="Arial" w:hAnsi="Arial" w:cs="Arial"/>
          <w:color w:val="000000"/>
        </w:rPr>
        <w:t>ontrast, in a disparate impact case, a plaintiff must actually prove the discriminatory impact at issue.</w:t>
      </w:r>
      <w:r>
        <w:rPr>
          <w:rFonts w:ascii="Arial" w:eastAsia="Arial" w:hAnsi="Arial" w:cs="Arial"/>
          <w:vertAlign w:val="superscript"/>
        </w:rPr>
        <w:footnoteReference w:customMarkFollows="1" w:id="230"/>
        <w:t>n12</w:t>
      </w:r>
    </w:p>
    <w:p w:rsidR="007A6EB4" w:rsidRDefault="006F3363">
      <w:pPr>
        <w:spacing w:before="200" w:line="300" w:lineRule="atLeast"/>
        <w:jc w:val="both"/>
      </w:pPr>
      <w:r>
        <w:rPr>
          <w:rFonts w:ascii="Arial" w:eastAsia="Arial" w:hAnsi="Arial" w:cs="Arial"/>
          <w:color w:val="000000"/>
        </w:rPr>
        <w:t>If an employee establishes a prima facie case of discrimination, it raises a presumption or inference that the employer unlawfully discriminated aga</w:t>
      </w:r>
      <w:r>
        <w:rPr>
          <w:rFonts w:ascii="Arial" w:eastAsia="Arial" w:hAnsi="Arial" w:cs="Arial"/>
          <w:color w:val="000000"/>
        </w:rPr>
        <w:t>inst the employee because the court presumes that the employer's acts, if otherwise unexplained, are more likely than not based on consideration of impermissible factors.</w:t>
      </w:r>
      <w:r>
        <w:rPr>
          <w:rFonts w:ascii="Arial" w:eastAsia="Arial" w:hAnsi="Arial" w:cs="Arial"/>
          <w:vertAlign w:val="superscript"/>
        </w:rPr>
        <w:footnoteReference w:customMarkFollows="1" w:id="231"/>
        <w:t>n13</w:t>
      </w:r>
    </w:p>
    <w:p w:rsidR="007A6EB4" w:rsidRDefault="006F3363">
      <w:pPr>
        <w:spacing w:before="200" w:line="300" w:lineRule="atLeast"/>
        <w:jc w:val="both"/>
      </w:pPr>
      <w:r>
        <w:rPr>
          <w:rFonts w:ascii="Arial" w:eastAsia="Arial" w:hAnsi="Arial" w:cs="Arial"/>
          <w:color w:val="000000"/>
        </w:rPr>
        <w:lastRenderedPageBreak/>
        <w:t xml:space="preserve">A plaintiff alleging employment discrimination must first establish, by a </w:t>
      </w:r>
      <w:r>
        <w:rPr>
          <w:rFonts w:ascii="Arial" w:eastAsia="Arial" w:hAnsi="Arial" w:cs="Arial"/>
          <w:color w:val="000000"/>
        </w:rPr>
        <w:t>preponderance of the evidence, a prima facie case of discrimination; if successful, this raises a presumption of discrimination against the defendant.</w:t>
      </w:r>
      <w:r>
        <w:rPr>
          <w:rFonts w:ascii="Arial" w:eastAsia="Arial" w:hAnsi="Arial" w:cs="Arial"/>
          <w:vertAlign w:val="superscript"/>
        </w:rPr>
        <w:footnoteReference w:customMarkFollows="1" w:id="232"/>
        <w:t>n14</w:t>
      </w:r>
      <w:r>
        <w:rPr>
          <w:rFonts w:ascii="Arial" w:eastAsia="Arial" w:hAnsi="Arial" w:cs="Arial"/>
          <w:color w:val="000000"/>
        </w:rPr>
        <w:t xml:space="preserve"> If a prima facie showing of employment discrimination is made by the employee, the burden of proof the</w:t>
      </w:r>
      <w:r>
        <w:rPr>
          <w:rFonts w:ascii="Arial" w:eastAsia="Arial" w:hAnsi="Arial" w:cs="Arial"/>
          <w:color w:val="000000"/>
        </w:rPr>
        <w:t>n shifts to the employer to offer a legitimate, nondiscriminatory reason for the adverse employment action; if the employer meets its burden, the presumption of discrimination disappears, and the employee must prove that the employer's legitimate reasons f</w:t>
      </w:r>
      <w:r>
        <w:rPr>
          <w:rFonts w:ascii="Arial" w:eastAsia="Arial" w:hAnsi="Arial" w:cs="Arial"/>
          <w:color w:val="000000"/>
        </w:rPr>
        <w:t>or dismissal were a pretext for discrimination.</w:t>
      </w:r>
      <w:r>
        <w:rPr>
          <w:rFonts w:ascii="Arial" w:eastAsia="Arial" w:hAnsi="Arial" w:cs="Arial"/>
          <w:vertAlign w:val="superscript"/>
        </w:rPr>
        <w:footnoteReference w:customMarkFollows="1" w:id="233"/>
        <w:t>n15</w:t>
      </w:r>
      <w:r>
        <w:rPr>
          <w:rFonts w:ascii="Arial" w:eastAsia="Arial" w:hAnsi="Arial" w:cs="Arial"/>
          <w:color w:val="000000"/>
        </w:rPr>
        <w:t xml:space="preserve"> The ultimate burden of proving employment discrimination rests at all times with the plaintiff.</w:t>
      </w:r>
      <w:r>
        <w:rPr>
          <w:rFonts w:ascii="Arial" w:eastAsia="Arial" w:hAnsi="Arial" w:cs="Arial"/>
          <w:vertAlign w:val="superscript"/>
        </w:rPr>
        <w:footnoteReference w:customMarkFollows="1" w:id="234"/>
        <w:t>n16</w:t>
      </w:r>
    </w:p>
    <w:p w:rsidR="007A6EB4" w:rsidRDefault="006F3363">
      <w:pPr>
        <w:spacing w:before="200" w:line="300" w:lineRule="atLeast"/>
        <w:jc w:val="both"/>
      </w:pPr>
      <w:r>
        <w:rPr>
          <w:rFonts w:ascii="Arial" w:eastAsia="Arial" w:hAnsi="Arial" w:cs="Arial"/>
          <w:color w:val="000000"/>
        </w:rPr>
        <w:t>An employee may prove that the employer engaged in discrimination by direct, circumstantial, or statistica</w:t>
      </w:r>
      <w:r>
        <w:rPr>
          <w:rFonts w:ascii="Arial" w:eastAsia="Arial" w:hAnsi="Arial" w:cs="Arial"/>
          <w:color w:val="000000"/>
        </w:rPr>
        <w:t>l evidence.</w:t>
      </w:r>
      <w:r>
        <w:rPr>
          <w:rFonts w:ascii="Arial" w:eastAsia="Arial" w:hAnsi="Arial" w:cs="Arial"/>
          <w:vertAlign w:val="superscript"/>
        </w:rPr>
        <w:footnoteReference w:customMarkFollows="1" w:id="235"/>
        <w:t>n17</w:t>
      </w:r>
      <w:r>
        <w:rPr>
          <w:rFonts w:ascii="Arial" w:eastAsia="Arial" w:hAnsi="Arial" w:cs="Arial"/>
          <w:color w:val="000000"/>
        </w:rPr>
        <w:t xml:space="preserve"> However, an employee cannot prove pretext for discrimination merely by asserting that he or she was better qualified than other candidates for a promotion.</w:t>
      </w:r>
      <w:r>
        <w:rPr>
          <w:rFonts w:ascii="Arial" w:eastAsia="Arial" w:hAnsi="Arial" w:cs="Arial"/>
          <w:vertAlign w:val="superscript"/>
        </w:rPr>
        <w:footnoteReference w:customMarkFollows="1" w:id="236"/>
        <w:t>n18</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83" style="position:absolute;z-index:25177804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w:t>
      </w:r>
      <w:r>
        <w:rPr>
          <w:rFonts w:ascii="Arial" w:eastAsia="Arial" w:hAnsi="Arial" w:cs="Arial"/>
          <w:color w:val="000000"/>
        </w:rPr>
        <w:t>), 1019(5), 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w:t>
      </w:r>
      <w:r>
        <w:rPr>
          <w:rFonts w:ascii="Arial" w:eastAsia="Arial" w:hAnsi="Arial" w:cs="Arial"/>
          <w:color w:val="000000"/>
        </w:rPr>
        <w:t>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 xml:space="preserve">West's Key Number Digest, States </w:t>
      </w:r>
      <w:r>
        <w:rPr>
          <w:rFonts w:ascii="Arial" w:eastAsia="Arial" w:hAnsi="Arial" w:cs="Arial"/>
          <w:color w:val="000000"/>
        </w:rPr>
        <w:t>[westkey]18.49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w:t>
      </w:r>
      <w:r>
        <w:rPr>
          <w:rFonts w:ascii="Arial" w:eastAsia="Arial" w:hAnsi="Arial" w:cs="Arial"/>
          <w:color w:val="000000"/>
        </w:rPr>
        <w:t>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1024, 1104, 1107, 1111, 1113 to 1116, 1136 to 1138, 1140, 1141, 1164 to 1190, 1196, 1206, 1207, 1216 to 1218, </w:t>
      </w:r>
      <w:r>
        <w:rPr>
          <w:rFonts w:ascii="Arial" w:eastAsia="Arial" w:hAnsi="Arial" w:cs="Arial"/>
          <w:color w:val="000000"/>
        </w:rPr>
        <w:lastRenderedPageBreak/>
        <w:t>1225(1) to 1225(3), 124</w:t>
      </w:r>
      <w:r>
        <w:rPr>
          <w:rFonts w:ascii="Arial" w:eastAsia="Arial" w:hAnsi="Arial" w:cs="Arial"/>
          <w:color w:val="000000"/>
        </w:rPr>
        <w:t>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w:t>
      </w:r>
      <w:r>
        <w:rPr>
          <w:rFonts w:ascii="Arial" w:eastAsia="Arial" w:hAnsi="Arial" w:cs="Arial"/>
          <w:color w:val="000000"/>
        </w:rPr>
        <w:t>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 xml:space="preserve">Employment </w:t>
      </w:r>
      <w:r>
        <w:rPr>
          <w:rFonts w:ascii="Arial" w:eastAsia="Arial" w:hAnsi="Arial" w:cs="Arial"/>
          <w:color w:val="000000"/>
        </w:rPr>
        <w:t>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w:t>
      </w:r>
      <w:r>
        <w:rPr>
          <w:rFonts w:ascii="Arial" w:eastAsia="Arial" w:hAnsi="Arial" w:cs="Arial"/>
          <w:color w:val="000000"/>
        </w:rPr>
        <w:t>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 xml:space="preserve">Employment </w:t>
      </w:r>
      <w:r>
        <w:rPr>
          <w:rFonts w:ascii="Arial" w:eastAsia="Arial" w:hAnsi="Arial" w:cs="Arial"/>
          <w:color w:val="000000"/>
        </w:rPr>
        <w:t>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w:t>
      </w:r>
      <w:r>
        <w:rPr>
          <w:rFonts w:ascii="Arial" w:eastAsia="Arial" w:hAnsi="Arial" w:cs="Arial"/>
          <w:color w:val="000000"/>
        </w:rPr>
        <w: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w:t>
      </w:r>
      <w:r>
        <w:rPr>
          <w:rFonts w:ascii="Arial" w:eastAsia="Arial" w:hAnsi="Arial" w:cs="Arial"/>
          <w:color w:val="000000"/>
        </w:rPr>
        <w: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 xml:space="preserve">Disability Discrimination Based on Dyslexia in Employment Actions Under the Americans with Disabilities Act, </w:t>
      </w:r>
      <w:r>
        <w:rPr>
          <w:rFonts w:ascii="Arial" w:eastAsia="Arial" w:hAnsi="Arial" w:cs="Arial"/>
          <w:color w:val="000000"/>
        </w:rPr>
        <w:t>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w:t>
      </w:r>
      <w:r>
        <w:rPr>
          <w:rFonts w:ascii="Arial" w:eastAsia="Arial" w:hAnsi="Arial" w:cs="Arial"/>
          <w:color w:val="000000"/>
        </w:rPr>
        <w:t>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lastRenderedPageBreak/>
        <w:t>Florida Jur. Forms Legal and Business §§ 20:162, 26:21</w:t>
      </w:r>
    </w:p>
    <w:p w:rsidR="007A6EB4" w:rsidRDefault="006F3363">
      <w:pPr>
        <w:spacing w:before="120" w:line="300" w:lineRule="atLeast"/>
      </w:pPr>
      <w:r>
        <w:rPr>
          <w:rFonts w:ascii="Arial" w:eastAsia="Arial" w:hAnsi="Arial" w:cs="Arial"/>
          <w:color w:val="000000"/>
        </w:rPr>
        <w:t>Florida</w:t>
      </w:r>
      <w:r>
        <w:rPr>
          <w:rFonts w:ascii="Arial" w:eastAsia="Arial" w:hAnsi="Arial" w:cs="Arial"/>
          <w:color w:val="000000"/>
        </w:rPr>
        <w:t xml:space="preserve">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[westkey]1138, 1140, 1545, 1710, 1740, 1744</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84" style="position:absolute;z-index:25182412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On employee's motion for default judgment on her racial discrimination claims against employer under Title VII, § 1981, and the Florida Civil Rights Act (FCRA), district court should have evaluated whether the well-pleaded factual allegations of her compla</w:t>
      </w:r>
      <w:r>
        <w:rPr>
          <w:rFonts w:ascii="Arial" w:eastAsia="Arial" w:hAnsi="Arial" w:cs="Arial"/>
          <w:color w:val="000000"/>
        </w:rPr>
        <w:t xml:space="preserve">int plausibly suggested that she suffered an adverse employment action due to intentional racial discrimination, not whether she had made out a prima facie case of racial discrimination under the </w:t>
      </w:r>
      <w:r>
        <w:rPr>
          <w:rFonts w:ascii="Arial" w:eastAsia="Arial" w:hAnsi="Arial" w:cs="Arial"/>
          <w:i/>
          <w:color w:val="000000"/>
        </w:rPr>
        <w:t>McDonnell Douglas</w:t>
      </w:r>
      <w:r>
        <w:rPr>
          <w:rFonts w:ascii="Arial" w:eastAsia="Arial" w:hAnsi="Arial" w:cs="Arial"/>
          <w:color w:val="000000"/>
        </w:rPr>
        <w:t xml:space="preserve"> burden-shifting framework. 42 U.S.C.A. § 1</w:t>
      </w:r>
      <w:r>
        <w:rPr>
          <w:rFonts w:ascii="Arial" w:eastAsia="Arial" w:hAnsi="Arial" w:cs="Arial"/>
          <w:color w:val="000000"/>
        </w:rPr>
        <w:t>981; Civil Rights Act of 1964, § 703(a)(1), (m), 42 U.S.C.A. § 2000e-2(a)(1), (m); Fed.Rules Civ.Proc.Rule 55(b)(2), 28 U.S.C.A.; West's F.S.A. § 760.10. Surtain v. Hamlin Terrace Foundation, 789 F.3d 1239 (11th Cir. 2015).</w:t>
      </w:r>
    </w:p>
    <w:p w:rsidR="007A6EB4" w:rsidRDefault="006F3363">
      <w:pPr>
        <w:spacing w:before="200" w:line="300" w:lineRule="atLeast"/>
        <w:jc w:val="both"/>
      </w:pPr>
      <w:r>
        <w:rPr>
          <w:rFonts w:ascii="Arial" w:eastAsia="Arial" w:hAnsi="Arial" w:cs="Arial"/>
          <w:color w:val="000000"/>
        </w:rPr>
        <w:t xml:space="preserve">Regardless of whether a plaintiff presents direct evidence of discrimination or relies on the </w:t>
      </w:r>
      <w:r>
        <w:rPr>
          <w:rFonts w:ascii="Arial" w:eastAsia="Arial" w:hAnsi="Arial" w:cs="Arial"/>
          <w:i/>
          <w:color w:val="000000"/>
        </w:rPr>
        <w:t>McDonnell Douglas</w:t>
      </w:r>
      <w:r>
        <w:rPr>
          <w:rFonts w:ascii="Arial" w:eastAsia="Arial" w:hAnsi="Arial" w:cs="Arial"/>
          <w:color w:val="000000"/>
        </w:rPr>
        <w:t xml:space="preserve"> presumption to establish the fourth element of his ADA and Florida Civil Rights Act (FCRA) discrimination claim, the employer's discriminatory i</w:t>
      </w:r>
      <w:r>
        <w:rPr>
          <w:rFonts w:ascii="Arial" w:eastAsia="Arial" w:hAnsi="Arial" w:cs="Arial"/>
          <w:color w:val="000000"/>
        </w:rPr>
        <w:t>ntent, the plaintiff always has the burden of demonstrating that, more probably than not, the employer took an adverse employment action against him on the basis of a protected characteristic. Americans with Disabilities Act of 1990 § 102, 42 U.S.C.A. § 12</w:t>
      </w:r>
      <w:r>
        <w:rPr>
          <w:rFonts w:ascii="Arial" w:eastAsia="Arial" w:hAnsi="Arial" w:cs="Arial"/>
          <w:color w:val="000000"/>
        </w:rPr>
        <w:t>112(a); Fla. Stat. Ann. § 760.01 et seq. Leme v. Southern Baptist Hospital of Florida, Inc., 248 F. Supp. 3d 1319 (M.D. Fla. 2017).</w:t>
      </w:r>
    </w:p>
    <w:p w:rsidR="007A6EB4" w:rsidRDefault="006F3363">
      <w:pPr>
        <w:spacing w:before="200" w:line="300" w:lineRule="atLeast"/>
        <w:jc w:val="both"/>
      </w:pPr>
      <w:r>
        <w:rPr>
          <w:rFonts w:ascii="Arial" w:eastAsia="Arial" w:hAnsi="Arial" w:cs="Arial"/>
          <w:color w:val="000000"/>
        </w:rPr>
        <w:t xml:space="preserve">The </w:t>
      </w:r>
      <w:r>
        <w:rPr>
          <w:rFonts w:ascii="Arial" w:eastAsia="Arial" w:hAnsi="Arial" w:cs="Arial"/>
          <w:i/>
          <w:color w:val="000000"/>
        </w:rPr>
        <w:t>McDonnell Douglas</w:t>
      </w:r>
      <w:r>
        <w:rPr>
          <w:rFonts w:ascii="Arial" w:eastAsia="Arial" w:hAnsi="Arial" w:cs="Arial"/>
          <w:color w:val="000000"/>
        </w:rPr>
        <w:t xml:space="preserve"> presumption is merely an evidence-producing mechanism that can aid, but not completely relieve, the pl</w:t>
      </w:r>
      <w:r>
        <w:rPr>
          <w:rFonts w:ascii="Arial" w:eastAsia="Arial" w:hAnsi="Arial" w:cs="Arial"/>
          <w:color w:val="000000"/>
        </w:rPr>
        <w:t>aintiff in his ultimate task of proving illegal discrimination under the ADA and the Florida Civil Rights Act (FCRA) by a preponderance of the evidence. Americans with Disabilities Act of 1990 § 102, 42 U.S.C.A. § 12112(a); Fla. Stat. Ann. § 760.01 et seq.</w:t>
      </w:r>
      <w:r>
        <w:rPr>
          <w:rFonts w:ascii="Arial" w:eastAsia="Arial" w:hAnsi="Arial" w:cs="Arial"/>
          <w:color w:val="000000"/>
        </w:rPr>
        <w:t xml:space="preserve"> Leme v. Southern Baptist Hospital of Florida, Inc., 248 F. Supp. 3d 1319 (M.D. Fla. 2017).</w:t>
      </w:r>
    </w:p>
    <w:p w:rsidR="007A6EB4" w:rsidRDefault="006F3363">
      <w:pPr>
        <w:spacing w:before="200" w:line="300" w:lineRule="atLeast"/>
        <w:jc w:val="both"/>
      </w:pPr>
      <w:r>
        <w:rPr>
          <w:rFonts w:ascii="Arial" w:eastAsia="Arial" w:hAnsi="Arial" w:cs="Arial"/>
          <w:color w:val="000000"/>
        </w:rPr>
        <w:t>Anytime a plaintiff fails to present sufficient evidence for a jury reasonably to have found that all elements of the ADA and Florida Civil Rights Act (FCRA) claims</w:t>
      </w:r>
      <w:r>
        <w:rPr>
          <w:rFonts w:ascii="Arial" w:eastAsia="Arial" w:hAnsi="Arial" w:cs="Arial"/>
          <w:color w:val="000000"/>
        </w:rPr>
        <w:t xml:space="preserve"> are established, judgment as a matter of law for the defendant is proper. Americans with Disabilities Act of 1990 § 102, 42 U.S.C.A. § 12112(a); Fla. Stat. Ann. § 760.01 et seq. Leme v. Southern Baptist Hospital of Florida, Inc., 248 F. Supp. 3d 1319 (M.D</w:t>
      </w:r>
      <w:r>
        <w:rPr>
          <w:rFonts w:ascii="Arial" w:eastAsia="Arial" w:hAnsi="Arial" w:cs="Arial"/>
          <w:color w:val="000000"/>
        </w:rPr>
        <w:t>. Fla. 2017).</w:t>
      </w:r>
    </w:p>
    <w:p w:rsidR="007A6EB4" w:rsidRDefault="006F3363">
      <w:pPr>
        <w:spacing w:before="200" w:line="300" w:lineRule="atLeast"/>
        <w:jc w:val="both"/>
      </w:pPr>
      <w:r>
        <w:rPr>
          <w:rFonts w:ascii="Arial" w:eastAsia="Arial" w:hAnsi="Arial" w:cs="Arial"/>
          <w:color w:val="000000"/>
        </w:rPr>
        <w:t>To establish a prima facie case of discrimination under the ADA and the Florida Civil Rights Act (FCRA), an employee must show that he: (1) is disabled, (2) is a qualified individual, and (3) was subjected to unlawful discrimination because o</w:t>
      </w:r>
      <w:r>
        <w:rPr>
          <w:rFonts w:ascii="Arial" w:eastAsia="Arial" w:hAnsi="Arial" w:cs="Arial"/>
          <w:color w:val="000000"/>
        </w:rPr>
        <w:t>f his disability. Americans with Disabilities Act of 1990, § 2 et seq., 42 U.S.C.A. § 12101 et seq.; West's F.S.A. § 760.10 et seq. Corning v. LodgeNet Interactive Corp., 896 F. Supp. 2d 1138 (M.D. Fla. 2012).</w:t>
      </w:r>
    </w:p>
    <w:p w:rsidR="007A6EB4" w:rsidRDefault="006F3363">
      <w:pPr>
        <w:spacing w:before="200" w:line="300" w:lineRule="atLeast"/>
        <w:jc w:val="both"/>
      </w:pPr>
      <w:r>
        <w:rPr>
          <w:rFonts w:ascii="Arial" w:eastAsia="Arial" w:hAnsi="Arial" w:cs="Arial"/>
          <w:color w:val="000000"/>
        </w:rPr>
        <w:lastRenderedPageBreak/>
        <w:t>Under Title VII and the Florida Civil Rights A</w:t>
      </w:r>
      <w:r>
        <w:rPr>
          <w:rFonts w:ascii="Arial" w:eastAsia="Arial" w:hAnsi="Arial" w:cs="Arial"/>
          <w:color w:val="000000"/>
        </w:rPr>
        <w:t>ct (FCRA), where employee claims that employer discriminated against her in meting out discipline, in determining whether employee and purported comparators are similarly situated, district courts are to evaluate whether the employees are involved in or ac</w:t>
      </w:r>
      <w:r>
        <w:rPr>
          <w:rFonts w:ascii="Arial" w:eastAsia="Arial" w:hAnsi="Arial" w:cs="Arial"/>
          <w:color w:val="000000"/>
        </w:rPr>
        <w:t>cused of the same or similar conduct and are disciplined in different ways. Civil Rights Act of 1964 § 703, 42 U.S.C.A. § 2000e-2(a)(1); Fla. Stat. Ann. § 760.10(1)(a). Diaz v. Florida, 219 F. Supp. 3d 1207 (S.D. Fla. 2016).</w:t>
      </w:r>
    </w:p>
    <w:p w:rsidR="007A6EB4" w:rsidRDefault="006F3363">
      <w:pPr>
        <w:spacing w:before="200" w:line="300" w:lineRule="atLeast"/>
        <w:jc w:val="both"/>
      </w:pPr>
      <w:r>
        <w:rPr>
          <w:rFonts w:ascii="Arial" w:eastAsia="Arial" w:hAnsi="Arial" w:cs="Arial"/>
          <w:color w:val="000000"/>
        </w:rPr>
        <w:t>District Court would require te</w:t>
      </w:r>
      <w:r>
        <w:rPr>
          <w:rFonts w:ascii="Arial" w:eastAsia="Arial" w:hAnsi="Arial" w:cs="Arial"/>
          <w:color w:val="000000"/>
        </w:rPr>
        <w:t>rminated worker to replead her complaint against condominium association where she worked, alleging harassment, discrimination, and retaliation, since each count in complaint cited more than one statute, and relevant parts of Florida Civil Rights Act, Titl</w:t>
      </w:r>
      <w:r>
        <w:rPr>
          <w:rFonts w:ascii="Arial" w:eastAsia="Arial" w:hAnsi="Arial" w:cs="Arial"/>
          <w:color w:val="000000"/>
        </w:rPr>
        <w:t>e VII, and ADEA were not identical, such that jury could find condominium association liable under one statute but not the others. Fed.Rules Civ.Proc.Rule 10(b), 28 U.S.C.A.; Age Discrimination in Employment Act of 1967, § 2 et seq., 29 U.S.C.A. § 621 et s</w:t>
      </w:r>
      <w:r>
        <w:rPr>
          <w:rFonts w:ascii="Arial" w:eastAsia="Arial" w:hAnsi="Arial" w:cs="Arial"/>
          <w:color w:val="000000"/>
        </w:rPr>
        <w:t>eq.; Civil Rights Act of 1964, § 701 et seq., 42 U.S.C.A. § 2000e et seq.; West's F.S.A. § 760.01 et seq. Bialek v. Delvista Towers Condominium Ass'n, Inc., 994 F. Supp. 2d 1277 (S.D. Fla. 2014).</w:t>
      </w:r>
    </w:p>
    <w:p w:rsidR="007A6EB4" w:rsidRDefault="006F3363">
      <w:pPr>
        <w:spacing w:before="200" w:line="300" w:lineRule="atLeast"/>
        <w:jc w:val="both"/>
      </w:pPr>
      <w:r>
        <w:rPr>
          <w:rFonts w:ascii="Arial" w:eastAsia="Arial" w:hAnsi="Arial" w:cs="Arial"/>
          <w:color w:val="000000"/>
        </w:rPr>
        <w:t>In an action under public Whistle-blower's Act, pretext is e</w:t>
      </w:r>
      <w:r>
        <w:rPr>
          <w:rFonts w:ascii="Arial" w:eastAsia="Arial" w:hAnsi="Arial" w:cs="Arial"/>
          <w:color w:val="000000"/>
        </w:rPr>
        <w:t>stablished either directly by persuading the court that a discriminatory reason more likely motivated the employer, or indirectly by showing that the employer's proffered explanation is unworthy of credence. Fla. Stat. Ann. § 112.3187. Kogan v. Israel, 211</w:t>
      </w:r>
      <w:r>
        <w:rPr>
          <w:rFonts w:ascii="Arial" w:eastAsia="Arial" w:hAnsi="Arial" w:cs="Arial"/>
          <w:color w:val="000000"/>
        </w:rPr>
        <w:t xml:space="preserve"> So. 3d 101 (Fla. 4th DCA 2017).</w:t>
      </w:r>
    </w:p>
    <w:p w:rsidR="007A6EB4" w:rsidRDefault="006F3363">
      <w:pPr>
        <w:spacing w:before="200" w:line="300" w:lineRule="atLeast"/>
        <w:jc w:val="both"/>
      </w:pPr>
      <w:r>
        <w:rPr>
          <w:rFonts w:ascii="Arial" w:eastAsia="Arial" w:hAnsi="Arial" w:cs="Arial"/>
          <w:color w:val="000000"/>
        </w:rPr>
        <w:t xml:space="preserve">White co-worker was not sufficiently similar to African-American dental office employee, who was terminated after she received two separate formal warnings regarding her conduct, and thus, employee failed to satisfy fourth </w:t>
      </w:r>
      <w:r>
        <w:rPr>
          <w:rFonts w:ascii="Arial" w:eastAsia="Arial" w:hAnsi="Arial" w:cs="Arial"/>
          <w:color w:val="000000"/>
        </w:rPr>
        <w:t xml:space="preserve">prong of prima facie case of race discrimination under </w:t>
      </w:r>
      <w:r>
        <w:rPr>
          <w:rFonts w:ascii="Arial" w:eastAsia="Arial" w:hAnsi="Arial" w:cs="Arial"/>
          <w:i/>
          <w:color w:val="000000"/>
        </w:rPr>
        <w:t>McDonnell Douglas</w:t>
      </w:r>
      <w:r>
        <w:rPr>
          <w:rFonts w:ascii="Arial" w:eastAsia="Arial" w:hAnsi="Arial" w:cs="Arial"/>
          <w:color w:val="000000"/>
        </w:rPr>
        <w:t>, namely that employer treated similarly situated employees outside the class more favorably; co-worker had a different immediate supervisor, nature of co-worker's offenses was differe</w:t>
      </w:r>
      <w:r>
        <w:rPr>
          <w:rFonts w:ascii="Arial" w:eastAsia="Arial" w:hAnsi="Arial" w:cs="Arial"/>
          <w:color w:val="000000"/>
        </w:rPr>
        <w:t>nt, the warnings given to co-worker were spread out over a longer period of time, and co-worker accepted responsibility for her actions. Johnson v. Great Expressions Dental Centers of Florida, P.A., 132 So. 3d 1174 (Fla. 3d DCA 2014).</w:t>
      </w:r>
    </w:p>
    <w:p w:rsidR="007A6EB4" w:rsidRDefault="006F3363">
      <w:pPr>
        <w:spacing w:before="200" w:line="300" w:lineRule="atLeast"/>
        <w:jc w:val="both"/>
      </w:pPr>
      <w:r>
        <w:rPr>
          <w:rFonts w:ascii="Arial" w:eastAsia="Arial" w:hAnsi="Arial" w:cs="Arial"/>
          <w:color w:val="000000"/>
        </w:rPr>
        <w:t>African American poli</w:t>
      </w:r>
      <w:r>
        <w:rPr>
          <w:rFonts w:ascii="Arial" w:eastAsia="Arial" w:hAnsi="Arial" w:cs="Arial"/>
          <w:color w:val="000000"/>
        </w:rPr>
        <w:t>ce officer established prima facie case of disparate treatment, racial discrimination, and retaliation against city; officer presented evidence of disparate treatment through comparator officers, including one whose disciplinary history was far more severe</w:t>
      </w:r>
      <w:r>
        <w:rPr>
          <w:rFonts w:ascii="Arial" w:eastAsia="Arial" w:hAnsi="Arial" w:cs="Arial"/>
          <w:color w:val="000000"/>
        </w:rPr>
        <w:t>, officer offered other examples of discrimination that had been suffered by himself and fellow officers in police department, and each of the instances testified to by officer and the other witnesses occurred after officer made his initial complaints of d</w:t>
      </w:r>
      <w:r>
        <w:rPr>
          <w:rFonts w:ascii="Arial" w:eastAsia="Arial" w:hAnsi="Arial" w:cs="Arial"/>
          <w:color w:val="000000"/>
        </w:rPr>
        <w:t>iscrimination to superior officers. City of West Palm Beach v. McCray, 91 So. 3d 165 (Fla. 4th DCA 2012).</w:t>
      </w:r>
    </w:p>
    <w:p w:rsidR="007A6EB4" w:rsidRDefault="006F3363">
      <w:pPr>
        <w:spacing w:before="200" w:line="300" w:lineRule="atLeast"/>
        <w:jc w:val="both"/>
      </w:pPr>
      <w:r>
        <w:rPr>
          <w:rFonts w:ascii="Arial" w:eastAsia="Arial" w:hAnsi="Arial" w:cs="Arial"/>
          <w:color w:val="000000"/>
        </w:rPr>
        <w:t>Employee's allegations that she exhausted her administrative remedies, filed a charge of discrimination with the appropriate commission, and that more</w:t>
      </w:r>
      <w:r>
        <w:rPr>
          <w:rFonts w:ascii="Arial" w:eastAsia="Arial" w:hAnsi="Arial" w:cs="Arial"/>
          <w:color w:val="000000"/>
        </w:rPr>
        <w:t xml:space="preserve"> than 180 days passed since she filed the charge, were sufficient to show exhaustion of remedies as required under the Florida Civil Rights Act (FCRA). West's F.S.A. § 760.01 et seq. Olson v. Dex Imaging, Inc., 63 F. Supp. 3d 1353 (M.D. Fla. 2014) (applyin</w:t>
      </w:r>
      <w:r>
        <w:rPr>
          <w:rFonts w:ascii="Arial" w:eastAsia="Arial" w:hAnsi="Arial" w:cs="Arial"/>
          <w:color w:val="000000"/>
        </w:rPr>
        <w:t>g Florida law).</w:t>
      </w:r>
    </w:p>
    <w:p w:rsidR="007A6EB4" w:rsidRDefault="006F3363">
      <w:pPr>
        <w:spacing w:before="200" w:line="300" w:lineRule="atLeast"/>
        <w:jc w:val="both"/>
      </w:pPr>
      <w:r>
        <w:rPr>
          <w:rFonts w:ascii="Arial" w:eastAsia="Arial" w:hAnsi="Arial" w:cs="Arial"/>
          <w:color w:val="000000"/>
        </w:rPr>
        <w:t>Employee's allegations that she was a qualified individual, based on her condition as a recovering alcoholic which affected her major life activity of working, and that employer denied her a reasonable accommodation for her disability in th</w:t>
      </w:r>
      <w:r>
        <w:rPr>
          <w:rFonts w:ascii="Arial" w:eastAsia="Arial" w:hAnsi="Arial" w:cs="Arial"/>
          <w:color w:val="000000"/>
        </w:rPr>
        <w:t xml:space="preserve">e form of additional leave from work to </w:t>
      </w:r>
      <w:r>
        <w:rPr>
          <w:rFonts w:ascii="Arial" w:eastAsia="Arial" w:hAnsi="Arial" w:cs="Arial"/>
          <w:color w:val="000000"/>
        </w:rPr>
        <w:lastRenderedPageBreak/>
        <w:t>receive treatment, were sufficient to state disability claim under the Florida Civil Rights Act (FCRA). West's F.S.A. § 760.01 et seq. Olson v. Dex Imaging, Inc., 63 F. Supp. 3d 1353 (M.D. Fla. 2014) (applying Florid</w:t>
      </w:r>
      <w:r>
        <w:rPr>
          <w:rFonts w:ascii="Arial" w:eastAsia="Arial" w:hAnsi="Arial" w:cs="Arial"/>
          <w:color w:val="000000"/>
        </w:rPr>
        <w:t>a law).</w:t>
      </w:r>
    </w:p>
    <w:p w:rsidR="007A6EB4" w:rsidRDefault="006F3363">
      <w:pPr>
        <w:spacing w:before="200" w:line="300" w:lineRule="atLeast"/>
        <w:jc w:val="both"/>
      </w:pPr>
      <w:r>
        <w:rPr>
          <w:rFonts w:ascii="Arial" w:eastAsia="Arial" w:hAnsi="Arial" w:cs="Arial"/>
          <w:color w:val="000000"/>
        </w:rPr>
        <w:t>Employee's allegations that she was qualified for the job, she was constructively discharged, and that similar male employees who held the same position as her received more compensation, and specifically, one male co-worker received commission tha</w:t>
      </w:r>
      <w:r>
        <w:rPr>
          <w:rFonts w:ascii="Arial" w:eastAsia="Arial" w:hAnsi="Arial" w:cs="Arial"/>
          <w:color w:val="000000"/>
        </w:rPr>
        <w:t>t employee actually earned although he was less qualified, were sufficient to state claim for gender discrimination under the Florida Civil Rights Act (FCRA). West's F.S.A. § 760.01 et seq. Olson v. Dex Imaging, Inc., 63 F. Supp. 3d 1353 (M.D. Fla. 2014) (</w:t>
      </w:r>
      <w:r>
        <w:rPr>
          <w:rFonts w:ascii="Arial" w:eastAsia="Arial" w:hAnsi="Arial" w:cs="Arial"/>
          <w:color w:val="000000"/>
        </w:rPr>
        <w:t>applying Florida law).</w:t>
      </w:r>
    </w:p>
    <w:p w:rsidR="007A6EB4" w:rsidRDefault="006F3363">
      <w:pPr>
        <w:spacing w:before="200" w:line="300" w:lineRule="atLeast"/>
        <w:jc w:val="both"/>
      </w:pPr>
      <w:r>
        <w:rPr>
          <w:rFonts w:ascii="Arial" w:eastAsia="Arial" w:hAnsi="Arial" w:cs="Arial"/>
          <w:color w:val="000000"/>
        </w:rPr>
        <w:t>Employee's allegations that she engaged in multiple instances of protected activity including complaining about discriminatory acts against her based on her gender and disability a few days before she was constructively discharged we</w:t>
      </w:r>
      <w:r>
        <w:rPr>
          <w:rFonts w:ascii="Arial" w:eastAsia="Arial" w:hAnsi="Arial" w:cs="Arial"/>
          <w:color w:val="000000"/>
        </w:rPr>
        <w:t>re sufficient to state claim for retaliation under the Florida Civil Rights Act (FCRA). West's F.S.A. § 760.01 et seq. Olson v. Dex Imaging, Inc., 63 F. Supp. 3d 1353 (M.D. Fla. 2014) (applying Florida law).</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w:t>
      </w:r>
      <w:r>
        <w:rPr>
          <w:rFonts w:ascii="Arial" w:eastAsia="Arial" w:hAnsi="Arial" w:cs="Arial"/>
          <w:color w:val="000000"/>
          <w:sz w:val="20"/>
        </w:rPr>
        <w:t>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85" style="position:absolute;left:0;text-align:left;z-index:25186304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75"/>
          <w:headerReference w:type="default" r:id="rId176"/>
          <w:footerReference w:type="even" r:id="rId177"/>
          <w:footerReference w:type="default" r:id="rId178"/>
          <w:headerReference w:type="first" r:id="rId179"/>
          <w:footerReference w:type="first" r:id="rId180"/>
          <w:pgSz w:w="12240" w:h="15840"/>
          <w:pgMar w:top="840" w:right="1000" w:bottom="840" w:left="1000" w:header="400" w:footer="400" w:gutter="0"/>
          <w:cols w:space="720"/>
          <w:titlePg/>
        </w:sectPr>
      </w:pPr>
    </w:p>
    <w:p w:rsidR="007A6EB4" w:rsidRDefault="007A6EB4">
      <w:bookmarkStart w:id="29" w:name="Bookmark_29"/>
      <w:bookmarkEnd w:id="29"/>
    </w:p>
    <w:p w:rsidR="007A6EB4" w:rsidRDefault="006F3363">
      <w:r>
        <w:pict>
          <v:shape id="_x0000_i1053"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28</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 xml:space="preserve">B. </w:t>
      </w:r>
      <w:r>
        <w:rPr>
          <w:rFonts w:ascii="Arial" w:eastAsia="Arial" w:hAnsi="Arial" w:cs="Arial"/>
          <w:b/>
          <w:i/>
          <w:color w:val="000000"/>
          <w:sz w:val="22"/>
        </w:rPr>
        <w:t>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C. Stating Employment Discrimination Case; Defenses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87" style="position:absolute;z-index:25168691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28 Defense of legitimate nondiscriminatory reason</w:t>
      </w:r>
    </w:p>
    <w:p w:rsidR="007A6EB4" w:rsidRDefault="006F3363">
      <w:pPr>
        <w:spacing w:line="60" w:lineRule="exact"/>
      </w:pPr>
      <w:r>
        <w:pict>
          <v:line id="_x0000_s1188" style="position:absolute;z-index:25173299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In order to rebut the presumption of employment </w:t>
      </w:r>
      <w:r>
        <w:rPr>
          <w:rFonts w:ascii="Arial" w:eastAsia="Arial" w:hAnsi="Arial" w:cs="Arial"/>
          <w:color w:val="000000"/>
        </w:rPr>
        <w:t xml:space="preserve">discrimination arising from the plaintiff's establishment of a prima facie case, the defendant must clearly set forth, through the introduction of admissible evidence, reasons for its actions that, if believed by the trier of fact, would support a finding </w:t>
      </w:r>
      <w:r>
        <w:rPr>
          <w:rFonts w:ascii="Arial" w:eastAsia="Arial" w:hAnsi="Arial" w:cs="Arial"/>
          <w:color w:val="000000"/>
        </w:rPr>
        <w:t>that unlawful discrimination was not the cause of the employment action.</w:t>
      </w:r>
      <w:r>
        <w:rPr>
          <w:rFonts w:ascii="Arial" w:eastAsia="Arial" w:hAnsi="Arial" w:cs="Arial"/>
          <w:vertAlign w:val="superscript"/>
        </w:rPr>
        <w:footnoteReference w:customMarkFollows="1" w:id="237"/>
        <w:t>n1</w:t>
      </w:r>
      <w:r>
        <w:rPr>
          <w:rFonts w:ascii="Arial" w:eastAsia="Arial" w:hAnsi="Arial" w:cs="Arial"/>
          <w:color w:val="000000"/>
        </w:rPr>
        <w:t xml:space="preserve"> Once the plaintiff has satisfied the prima facie case, the defendant-employer has the burden of producing evidence that the adverse employment actions were taken for a legitimate, n</w:t>
      </w:r>
      <w:r>
        <w:rPr>
          <w:rFonts w:ascii="Arial" w:eastAsia="Arial" w:hAnsi="Arial" w:cs="Arial"/>
          <w:color w:val="000000"/>
        </w:rPr>
        <w:t>ondiscriminatory reason.</w:t>
      </w:r>
      <w:r>
        <w:rPr>
          <w:rFonts w:ascii="Arial" w:eastAsia="Arial" w:hAnsi="Arial" w:cs="Arial"/>
          <w:vertAlign w:val="superscript"/>
        </w:rPr>
        <w:footnoteReference w:customMarkFollows="1" w:id="238"/>
        <w:t>n2</w:t>
      </w:r>
    </w:p>
    <w:p w:rsidR="007A6EB4" w:rsidRDefault="006F3363">
      <w:pPr>
        <w:spacing w:before="200" w:line="300" w:lineRule="atLeast"/>
        <w:jc w:val="both"/>
      </w:pPr>
      <w:r>
        <w:rPr>
          <w:rFonts w:ascii="Arial" w:eastAsia="Arial" w:hAnsi="Arial" w:cs="Arial"/>
          <w:color w:val="000000"/>
        </w:rPr>
        <w:t>The employer's burden is a burden of production, not persuasion,</w:t>
      </w:r>
      <w:r>
        <w:rPr>
          <w:rFonts w:ascii="Arial" w:eastAsia="Arial" w:hAnsi="Arial" w:cs="Arial"/>
          <w:vertAlign w:val="superscript"/>
        </w:rPr>
        <w:footnoteReference w:customMarkFollows="1" w:id="239"/>
        <w:t>n3</w:t>
      </w:r>
      <w:r>
        <w:rPr>
          <w:rFonts w:ascii="Arial" w:eastAsia="Arial" w:hAnsi="Arial" w:cs="Arial"/>
          <w:color w:val="000000"/>
        </w:rPr>
        <w:t xml:space="preserve"> and it involves no credibility assessment;</w:t>
      </w:r>
      <w:r>
        <w:rPr>
          <w:rFonts w:ascii="Arial" w:eastAsia="Arial" w:hAnsi="Arial" w:cs="Arial"/>
          <w:vertAlign w:val="superscript"/>
        </w:rPr>
        <w:footnoteReference w:customMarkFollows="1" w:id="240"/>
        <w:t>n4</w:t>
      </w:r>
      <w:r>
        <w:rPr>
          <w:rFonts w:ascii="Arial" w:eastAsia="Arial" w:hAnsi="Arial" w:cs="Arial"/>
          <w:color w:val="000000"/>
        </w:rPr>
        <w:t xml:space="preserve"> however, those reasons must be clear and reasonably specific.</w:t>
      </w:r>
      <w:r>
        <w:rPr>
          <w:rFonts w:ascii="Arial" w:eastAsia="Arial" w:hAnsi="Arial" w:cs="Arial"/>
          <w:vertAlign w:val="superscript"/>
        </w:rPr>
        <w:footnoteReference w:customMarkFollows="1" w:id="241"/>
        <w:t>n5</w:t>
      </w:r>
      <w:r>
        <w:rPr>
          <w:rFonts w:ascii="Arial" w:eastAsia="Arial" w:hAnsi="Arial" w:cs="Arial"/>
          <w:color w:val="000000"/>
        </w:rPr>
        <w:t xml:space="preserve"> The defendant's burden of production is exceedingly l</w:t>
      </w:r>
      <w:r>
        <w:rPr>
          <w:rFonts w:ascii="Arial" w:eastAsia="Arial" w:hAnsi="Arial" w:cs="Arial"/>
          <w:color w:val="000000"/>
        </w:rPr>
        <w:t>ight,</w:t>
      </w:r>
      <w:r>
        <w:rPr>
          <w:rFonts w:ascii="Arial" w:eastAsia="Arial" w:hAnsi="Arial" w:cs="Arial"/>
          <w:vertAlign w:val="superscript"/>
        </w:rPr>
        <w:footnoteReference w:customMarkFollows="1" w:id="242"/>
        <w:t>n6</w:t>
      </w:r>
      <w:r>
        <w:rPr>
          <w:rFonts w:ascii="Arial" w:eastAsia="Arial" w:hAnsi="Arial" w:cs="Arial"/>
          <w:color w:val="000000"/>
        </w:rPr>
        <w:t xml:space="preserve"> and the defendant must merely proffer nondiscrimination-based reasons, not prove them.</w:t>
      </w:r>
      <w:r>
        <w:rPr>
          <w:rFonts w:ascii="Arial" w:eastAsia="Arial" w:hAnsi="Arial" w:cs="Arial"/>
          <w:vertAlign w:val="superscript"/>
        </w:rPr>
        <w:footnoteReference w:customMarkFollows="1" w:id="243"/>
        <w:t>n7</w:t>
      </w:r>
      <w:r>
        <w:rPr>
          <w:rFonts w:ascii="Arial" w:eastAsia="Arial" w:hAnsi="Arial" w:cs="Arial"/>
          <w:color w:val="000000"/>
        </w:rPr>
        <w:t xml:space="preserve"> The employee, who bears the ultimate burden of demonstrating that the employer intentionally discriminated against him or her, must prove that the reasons arti</w:t>
      </w:r>
      <w:r>
        <w:rPr>
          <w:rFonts w:ascii="Arial" w:eastAsia="Arial" w:hAnsi="Arial" w:cs="Arial"/>
          <w:color w:val="000000"/>
        </w:rPr>
        <w:t xml:space="preserve">culated were false and that discrimination was the real reason for the </w:t>
      </w:r>
      <w:r>
        <w:rPr>
          <w:rFonts w:ascii="Arial" w:eastAsia="Arial" w:hAnsi="Arial" w:cs="Arial"/>
          <w:color w:val="000000"/>
        </w:rPr>
        <w:lastRenderedPageBreak/>
        <w:t>employer's actions.</w:t>
      </w:r>
      <w:r>
        <w:rPr>
          <w:rFonts w:ascii="Arial" w:eastAsia="Arial" w:hAnsi="Arial" w:cs="Arial"/>
          <w:vertAlign w:val="superscript"/>
        </w:rPr>
        <w:footnoteReference w:customMarkFollows="1" w:id="244"/>
        <w:t>n8</w:t>
      </w:r>
      <w:r>
        <w:rPr>
          <w:rFonts w:ascii="Arial" w:eastAsia="Arial" w:hAnsi="Arial" w:cs="Arial"/>
          <w:color w:val="000000"/>
        </w:rPr>
        <w:t xml:space="preserve"> Thus, the plaintiff must show that a discriminatory reason more likely than not motivated the adverse employment decision.</w:t>
      </w:r>
      <w:r>
        <w:rPr>
          <w:rFonts w:ascii="Arial" w:eastAsia="Arial" w:hAnsi="Arial" w:cs="Arial"/>
          <w:vertAlign w:val="superscript"/>
        </w:rPr>
        <w:footnoteReference w:customMarkFollows="1" w:id="245"/>
        <w:t>n9</w:t>
      </w:r>
      <w:r>
        <w:rPr>
          <w:rFonts w:ascii="Arial" w:eastAsia="Arial" w:hAnsi="Arial" w:cs="Arial"/>
          <w:color w:val="000000"/>
        </w:rPr>
        <w:t xml:space="preserve"> The mere fact that an employer's reaso</w:t>
      </w:r>
      <w:r>
        <w:rPr>
          <w:rFonts w:ascii="Arial" w:eastAsia="Arial" w:hAnsi="Arial" w:cs="Arial"/>
          <w:color w:val="000000"/>
        </w:rPr>
        <w:t>ns for an adverse action are subjective ones does not constitute proof of an intent to discriminate.</w:t>
      </w:r>
      <w:r>
        <w:rPr>
          <w:rFonts w:ascii="Arial" w:eastAsia="Arial" w:hAnsi="Arial" w:cs="Arial"/>
          <w:vertAlign w:val="superscript"/>
        </w:rPr>
        <w:footnoteReference w:customMarkFollows="1" w:id="246"/>
        <w:t>n10</w:t>
      </w:r>
    </w:p>
    <w:p w:rsidR="007A6EB4" w:rsidRDefault="006F3363">
      <w:pPr>
        <w:spacing w:before="200" w:line="300" w:lineRule="atLeast"/>
        <w:jc w:val="both"/>
      </w:pPr>
      <w:r>
        <w:rPr>
          <w:rFonts w:ascii="Arial" w:eastAsia="Arial" w:hAnsi="Arial" w:cs="Arial"/>
          <w:color w:val="000000"/>
        </w:rPr>
        <w:t>The plaintiff must demonstrate that an employer's asserted reasons for an adverse action are pretextual.</w:t>
      </w:r>
      <w:r>
        <w:rPr>
          <w:rFonts w:ascii="Arial" w:eastAsia="Arial" w:hAnsi="Arial" w:cs="Arial"/>
          <w:vertAlign w:val="superscript"/>
        </w:rPr>
        <w:footnoteReference w:customMarkFollows="1" w:id="247"/>
        <w:t>n11</w:t>
      </w:r>
      <w:r>
        <w:rPr>
          <w:rFonts w:ascii="Arial" w:eastAsia="Arial" w:hAnsi="Arial" w:cs="Arial"/>
          <w:color w:val="000000"/>
        </w:rPr>
        <w:t xml:space="preserve"> The pretext of an employer's proffered nondi</w:t>
      </w:r>
      <w:r>
        <w:rPr>
          <w:rFonts w:ascii="Arial" w:eastAsia="Arial" w:hAnsi="Arial" w:cs="Arial"/>
          <w:color w:val="000000"/>
        </w:rPr>
        <w:t>scriminatory reason for terminating an employee is established either directly by persuading the court that a discriminatory reason more likely motivated the employer or indirectly by showing that the employer's proffered explanation is unworthy of credenc</w:t>
      </w:r>
      <w:r>
        <w:rPr>
          <w:rFonts w:ascii="Arial" w:eastAsia="Arial" w:hAnsi="Arial" w:cs="Arial"/>
          <w:color w:val="000000"/>
        </w:rPr>
        <w:t>e; where an employer offers multiple reasons for the termination, a plaintiff must produce sufficient evidence for a reasonable fact finder to conclude that each reason is pretextual.</w:t>
      </w:r>
      <w:r>
        <w:rPr>
          <w:rFonts w:ascii="Arial" w:eastAsia="Arial" w:hAnsi="Arial" w:cs="Arial"/>
          <w:vertAlign w:val="superscript"/>
        </w:rPr>
        <w:footnoteReference w:customMarkFollows="1" w:id="248"/>
        <w:t>n12</w:t>
      </w:r>
      <w:r>
        <w:rPr>
          <w:rFonts w:ascii="Arial" w:eastAsia="Arial" w:hAnsi="Arial" w:cs="Arial"/>
          <w:color w:val="000000"/>
        </w:rPr>
        <w:t xml:space="preserve"> To show that an employer's proffered nondiscriminatory reasons for an</w:t>
      </w:r>
      <w:r>
        <w:rPr>
          <w:rFonts w:ascii="Arial" w:eastAsia="Arial" w:hAnsi="Arial" w:cs="Arial"/>
          <w:color w:val="000000"/>
        </w:rPr>
        <w:t xml:space="preserve"> adverse employment action were pretextual, the plaintiff must demonstrate such weaknesses, implausibilities, inconsistencies, incoherencies, or contradictions in the employer's proffered legitimate reasons for its action that a reasonable fact finder coul</w:t>
      </w:r>
      <w:r>
        <w:rPr>
          <w:rFonts w:ascii="Arial" w:eastAsia="Arial" w:hAnsi="Arial" w:cs="Arial"/>
          <w:color w:val="000000"/>
        </w:rPr>
        <w:t>d find them unworthy of credence.</w:t>
      </w:r>
      <w:r>
        <w:rPr>
          <w:rFonts w:ascii="Arial" w:eastAsia="Arial" w:hAnsi="Arial" w:cs="Arial"/>
          <w:vertAlign w:val="superscript"/>
        </w:rPr>
        <w:footnoteReference w:customMarkFollows="1" w:id="249"/>
        <w:t>n13</w:t>
      </w:r>
      <w:r>
        <w:rPr>
          <w:rFonts w:ascii="Arial" w:eastAsia="Arial" w:hAnsi="Arial" w:cs="Arial"/>
          <w:color w:val="000000"/>
        </w:rPr>
        <w:t xml:space="preserve"> A plaintiff's claim that an employer's proffered nondiscriminatory reasons for an adverse employment action are a pretext for discrimination will fail where he or she merely questions the wisdom of the employer's reason</w:t>
      </w:r>
      <w:r>
        <w:rPr>
          <w:rFonts w:ascii="Arial" w:eastAsia="Arial" w:hAnsi="Arial" w:cs="Arial"/>
          <w:color w:val="000000"/>
        </w:rPr>
        <w:t>s, at least where the reason is one that might motivate a reasonable employer; the inquiry into pretext centers upon the employer's beliefs and not the employee's own perceptions of his or her performance.</w:t>
      </w:r>
      <w:r>
        <w:rPr>
          <w:rFonts w:ascii="Arial" w:eastAsia="Arial" w:hAnsi="Arial" w:cs="Arial"/>
          <w:vertAlign w:val="superscript"/>
        </w:rPr>
        <w:footnoteReference w:customMarkFollows="1" w:id="250"/>
        <w:t>n14</w:t>
      </w:r>
    </w:p>
    <w:p w:rsidR="007A6EB4" w:rsidRDefault="006F3363">
      <w:pPr>
        <w:spacing w:before="200" w:line="300" w:lineRule="atLeast"/>
        <w:jc w:val="both"/>
      </w:pPr>
      <w:r>
        <w:rPr>
          <w:rFonts w:ascii="Arial" w:eastAsia="Arial" w:hAnsi="Arial" w:cs="Arial"/>
          <w:color w:val="000000"/>
        </w:rPr>
        <w:t>Illustrations: A police lieutenant's poor perfo</w:t>
      </w:r>
      <w:r>
        <w:rPr>
          <w:rFonts w:ascii="Arial" w:eastAsia="Arial" w:hAnsi="Arial" w:cs="Arial"/>
          <w:color w:val="000000"/>
        </w:rPr>
        <w:t>rmance at a briefing regarding a free-trade meeting, and promoted officers' leadership skills, preparation, performance, and other positive attributes, constituted legitimate, nondiscriminatory reasons for failing to promote the lieutenant, who had Parkins</w:t>
      </w:r>
      <w:r>
        <w:rPr>
          <w:rFonts w:ascii="Arial" w:eastAsia="Arial" w:hAnsi="Arial" w:cs="Arial"/>
          <w:color w:val="000000"/>
        </w:rPr>
        <w:t>on's disease, to a position as neighborhood enhancement team commander (NET commander).</w:t>
      </w:r>
      <w:r>
        <w:rPr>
          <w:rFonts w:ascii="Arial" w:eastAsia="Arial" w:hAnsi="Arial" w:cs="Arial"/>
          <w:vertAlign w:val="superscript"/>
        </w:rPr>
        <w:footnoteReference w:customMarkFollows="1" w:id="251"/>
        <w:t>n15</w:t>
      </w:r>
      <w:r>
        <w:rPr>
          <w:rFonts w:ascii="Arial" w:eastAsia="Arial" w:hAnsi="Arial" w:cs="Arial"/>
          <w:color w:val="000000"/>
        </w:rPr>
        <w:t xml:space="preserve"> In addition, a former coach of a private university's women's basketball program could not prevail on a claim of age and gender discrimination filed after the univer</w:t>
      </w:r>
      <w:r>
        <w:rPr>
          <w:rFonts w:ascii="Arial" w:eastAsia="Arial" w:hAnsi="Arial" w:cs="Arial"/>
          <w:color w:val="000000"/>
        </w:rPr>
        <w:t>sity exercised its contractual right to buy out the remaining year of the coach's contract where the university produced legitimate, nondiscriminatory reasons for its actions, and the coach failed to demonstrate that the university's articulated reasons fo</w:t>
      </w:r>
      <w:r>
        <w:rPr>
          <w:rFonts w:ascii="Arial" w:eastAsia="Arial" w:hAnsi="Arial" w:cs="Arial"/>
          <w:color w:val="000000"/>
        </w:rPr>
        <w:t>r the adverse employment action were a mere pretext for discrimination.</w:t>
      </w:r>
      <w:r>
        <w:rPr>
          <w:rFonts w:ascii="Arial" w:eastAsia="Arial" w:hAnsi="Arial" w:cs="Arial"/>
          <w:vertAlign w:val="superscript"/>
        </w:rPr>
        <w:footnoteReference w:customMarkFollows="1" w:id="252"/>
        <w:t>n16</w:t>
      </w:r>
      <w:r>
        <w:rPr>
          <w:rFonts w:ascii="Arial" w:eastAsia="Arial" w:hAnsi="Arial" w:cs="Arial"/>
          <w:color w:val="000000"/>
        </w:rPr>
        <w:t xml:space="preserve"> However, police sergeants, who were passed over for promotion to lieutenant in favor of younger officers, proved that a city's reasons for not promoting them, namely that the promot</w:t>
      </w:r>
      <w:r>
        <w:rPr>
          <w:rFonts w:ascii="Arial" w:eastAsia="Arial" w:hAnsi="Arial" w:cs="Arial"/>
          <w:color w:val="000000"/>
        </w:rPr>
        <w:t xml:space="preserve">ed officers were better leaders and administrators, were pretextual so as to prevail on their age discrimination claims where the sergeants were qualified both by their prior service and scores on a qualification test, other officers stated that the </w:t>
      </w:r>
      <w:r>
        <w:rPr>
          <w:rFonts w:ascii="Arial" w:eastAsia="Arial" w:hAnsi="Arial" w:cs="Arial"/>
          <w:color w:val="000000"/>
        </w:rPr>
        <w:lastRenderedPageBreak/>
        <w:t>sergea</w:t>
      </w:r>
      <w:r>
        <w:rPr>
          <w:rFonts w:ascii="Arial" w:eastAsia="Arial" w:hAnsi="Arial" w:cs="Arial"/>
          <w:color w:val="000000"/>
        </w:rPr>
        <w:t>nts were good leaders and had that reputation in the department, a lieutenant told a sergeant that the police chief only talked about the lieutenant's own retirement and made it clear that the chief thought that "they were too old," a member of the command</w:t>
      </w:r>
      <w:r>
        <w:rPr>
          <w:rFonts w:ascii="Arial" w:eastAsia="Arial" w:hAnsi="Arial" w:cs="Arial"/>
          <w:color w:val="000000"/>
        </w:rPr>
        <w:t xml:space="preserve"> staff told the sergeant that he was too old for the lieutenant's position, and the chief made no independent investigation of the qualifications of the sergeants.</w:t>
      </w:r>
      <w:r>
        <w:rPr>
          <w:rFonts w:ascii="Arial" w:eastAsia="Arial" w:hAnsi="Arial" w:cs="Arial"/>
          <w:vertAlign w:val="superscript"/>
        </w:rPr>
        <w:footnoteReference w:customMarkFollows="1" w:id="253"/>
        <w:t>n17</w:t>
      </w:r>
    </w:p>
    <w:p w:rsidR="007A6EB4" w:rsidRDefault="006F3363">
      <w:pPr>
        <w:spacing w:before="200" w:line="300" w:lineRule="atLeast"/>
        <w:jc w:val="both"/>
      </w:pPr>
      <w:r>
        <w:rPr>
          <w:rFonts w:ascii="Arial" w:eastAsia="Arial" w:hAnsi="Arial" w:cs="Arial"/>
          <w:color w:val="000000"/>
        </w:rPr>
        <w:t>If the employer had mixed motives for the adverse employment decision and the plaintiff m</w:t>
      </w:r>
      <w:r>
        <w:rPr>
          <w:rFonts w:ascii="Arial" w:eastAsia="Arial" w:hAnsi="Arial" w:cs="Arial"/>
          <w:color w:val="000000"/>
        </w:rPr>
        <w:t>eets his or her burden that an impermissible criterion was a significant or motivating factor in the adverse employment decision, then the burden shifts to the employer to prove by a preponderance of the evidence that it would have reached the same decisio</w:t>
      </w:r>
      <w:r>
        <w:rPr>
          <w:rFonts w:ascii="Arial" w:eastAsia="Arial" w:hAnsi="Arial" w:cs="Arial"/>
          <w:color w:val="000000"/>
        </w:rPr>
        <w:t>n even absent the improper motive.</w:t>
      </w:r>
      <w:r>
        <w:rPr>
          <w:rFonts w:ascii="Arial" w:eastAsia="Arial" w:hAnsi="Arial" w:cs="Arial"/>
          <w:vertAlign w:val="superscript"/>
        </w:rPr>
        <w:footnoteReference w:customMarkFollows="1" w:id="254"/>
        <w:t>n18</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89" style="position:absolute;z-index:25177907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 1206, 1207, 1216 to 1218, 1225(1) to 122</w:t>
      </w:r>
      <w:r>
        <w:rPr>
          <w:rFonts w:ascii="Arial" w:eastAsia="Arial" w:hAnsi="Arial" w:cs="Arial"/>
          <w:color w:val="000000"/>
        </w:rPr>
        <w:t>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 xml:space="preserve">West's Key </w:t>
      </w:r>
      <w:r>
        <w:rPr>
          <w:rFonts w:ascii="Arial" w:eastAsia="Arial" w:hAnsi="Arial" w:cs="Arial"/>
          <w:color w:val="000000"/>
        </w:rPr>
        <w:t>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w:t>
      </w:r>
      <w:r>
        <w:rPr>
          <w:rFonts w:ascii="Arial" w:eastAsia="Arial" w:hAnsi="Arial" w:cs="Arial"/>
          <w:color w:val="000000"/>
        </w:rPr>
        <w:t>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1024, 1104, </w:t>
      </w:r>
      <w:r>
        <w:rPr>
          <w:rFonts w:ascii="Arial" w:eastAsia="Arial" w:hAnsi="Arial" w:cs="Arial"/>
          <w:color w:val="000000"/>
        </w:rPr>
        <w:t>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w:t>
      </w:r>
      <w:r>
        <w:rPr>
          <w:rFonts w:ascii="Arial" w:eastAsia="Arial" w:hAnsi="Arial" w:cs="Arial"/>
          <w:color w:val="000000"/>
        </w:rPr>
        <w: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lastRenderedPageBreak/>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 xml:space="preserve">Am. Jur. 2d, Job </w:t>
      </w:r>
      <w:r>
        <w:rPr>
          <w:rFonts w:ascii="Arial" w:eastAsia="Arial" w:hAnsi="Arial" w:cs="Arial"/>
          <w:color w:val="000000"/>
        </w:rPr>
        <w:t>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w:t>
      </w:r>
      <w:r>
        <w:rPr>
          <w:rFonts w:ascii="Arial" w:eastAsia="Arial" w:hAnsi="Arial" w:cs="Arial"/>
          <w:color w:val="000000"/>
        </w:rPr>
        <w:t>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w:t>
      </w:r>
      <w:r>
        <w:rPr>
          <w:rFonts w:ascii="Arial" w:eastAsia="Arial" w:hAnsi="Arial" w:cs="Arial"/>
          <w:color w:val="000000"/>
        </w:rPr>
        <w:t>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w:t>
      </w:r>
      <w:r>
        <w:rPr>
          <w:rFonts w:ascii="Arial" w:eastAsia="Arial" w:hAnsi="Arial" w:cs="Arial"/>
          <w:color w:val="000000"/>
        </w:rPr>
        <w:t>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w:t>
      </w:r>
      <w:r>
        <w:rPr>
          <w:rFonts w:ascii="Arial" w:eastAsia="Arial" w:hAnsi="Arial" w:cs="Arial"/>
          <w:color w:val="000000"/>
        </w:rPr>
        <w:t xml:space="preserve">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w:t>
      </w:r>
      <w:r>
        <w:rPr>
          <w:rFonts w:ascii="Arial" w:eastAsia="Arial" w:hAnsi="Arial" w:cs="Arial"/>
          <w:color w:val="000000"/>
        </w:rPr>
        <w:t>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w:t>
      </w:r>
      <w:r>
        <w:rPr>
          <w:rFonts w:ascii="Arial" w:eastAsia="Arial" w:hAnsi="Arial" w:cs="Arial"/>
          <w:color w:val="000000"/>
        </w:rPr>
        <w:t>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 xml:space="preserve">Am. Jur. Pleading and </w:t>
      </w:r>
      <w:r>
        <w:rPr>
          <w:rFonts w:ascii="Arial" w:eastAsia="Arial" w:hAnsi="Arial" w:cs="Arial"/>
          <w:color w:val="000000"/>
        </w:rPr>
        <w:t>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[westkey]1137, 1138, 1536, 1544, 1727 to 1729</w:t>
      </w:r>
    </w:p>
    <w:p w:rsidR="007A6EB4" w:rsidRDefault="006F3363">
      <w:pPr>
        <w:keepNext/>
        <w:spacing w:before="240" w:line="340" w:lineRule="atLeast"/>
      </w:pPr>
      <w:r>
        <w:lastRenderedPageBreak/>
        <w:br/>
      </w:r>
      <w:r>
        <w:rPr>
          <w:rFonts w:ascii="Arial" w:eastAsia="Arial" w:hAnsi="Arial" w:cs="Arial"/>
          <w:b/>
          <w:color w:val="000000"/>
          <w:sz w:val="28"/>
        </w:rPr>
        <w:t>Suppl</w:t>
      </w:r>
      <w:r>
        <w:rPr>
          <w:rFonts w:ascii="Arial" w:eastAsia="Arial" w:hAnsi="Arial" w:cs="Arial"/>
          <w:b/>
          <w:color w:val="000000"/>
          <w:sz w:val="28"/>
        </w:rPr>
        <w:t>ement</w:t>
      </w:r>
    </w:p>
    <w:p w:rsidR="007A6EB4" w:rsidRDefault="006F3363">
      <w:pPr>
        <w:spacing w:line="60" w:lineRule="exact"/>
      </w:pPr>
      <w:r>
        <w:pict>
          <v:line id="_x0000_s1190" style="position:absolute;z-index:25182515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Employer proffered legitimate, non-discriminatory reason for employee's termination, shifting burden to employee to establish pretext in her Florida Civil Rights Act disability discrimination case against employer, where employer </w:t>
      </w:r>
      <w:r>
        <w:rPr>
          <w:rFonts w:ascii="Arial" w:eastAsia="Arial" w:hAnsi="Arial" w:cs="Arial"/>
          <w:color w:val="000000"/>
        </w:rPr>
        <w:t>maintained that it terminated employee as part of legitimate reduction-in-force (RIF) that led not only to termination of 26 other employees, but also to closing of office where they worked. West's F.S.A. § 760.01 et seq. Palermo v. Grunau Company, Inc., 2</w:t>
      </w:r>
      <w:r>
        <w:rPr>
          <w:rFonts w:ascii="Arial" w:eastAsia="Arial" w:hAnsi="Arial" w:cs="Arial"/>
          <w:color w:val="000000"/>
        </w:rPr>
        <w:t>20 F. Supp. 3d 1300 (M.D. Fla. 2016), as amended, (Nov. 7, 2016).</w:t>
      </w:r>
    </w:p>
    <w:p w:rsidR="007A6EB4" w:rsidRDefault="006F3363">
      <w:pPr>
        <w:spacing w:before="200" w:line="300" w:lineRule="atLeast"/>
        <w:jc w:val="both"/>
      </w:pPr>
      <w:r>
        <w:rPr>
          <w:rFonts w:ascii="Arial" w:eastAsia="Arial" w:hAnsi="Arial" w:cs="Arial"/>
          <w:color w:val="000000"/>
        </w:rPr>
        <w:t>County school board's legitimate, non-discriminatory reasons for terminating employee, a 61-year-old psychologist, that the school district had implemented a reduction in force due to budget</w:t>
      </w:r>
      <w:r>
        <w:rPr>
          <w:rFonts w:ascii="Arial" w:eastAsia="Arial" w:hAnsi="Arial" w:cs="Arial"/>
          <w:color w:val="000000"/>
        </w:rPr>
        <w:t xml:space="preserve"> cuts, and that employee was selected for termination because of numerous complaints against him over the years, and his lack of social, interpersonal, and communication skills, was not pretext for age discrimination, as required to prove Age Discriminatio</w:t>
      </w:r>
      <w:r>
        <w:rPr>
          <w:rFonts w:ascii="Arial" w:eastAsia="Arial" w:hAnsi="Arial" w:cs="Arial"/>
          <w:color w:val="000000"/>
        </w:rPr>
        <w:t>n in Employment Act (ADEA) claim or pretext for retaliation, as required to establish Florida Public Sector Whistleblower Act (FWA); it was undisputed that employee's supervisor believed that employee had certain performance problems which warranted termin</w:t>
      </w:r>
      <w:r>
        <w:rPr>
          <w:rFonts w:ascii="Arial" w:eastAsia="Arial" w:hAnsi="Arial" w:cs="Arial"/>
          <w:color w:val="000000"/>
        </w:rPr>
        <w:t>ation. Age Discrimination in Employment Act of 1967, § 4(a)(1), 29 U.S.C.A. § 623(a)(1); West's F.S.A. § 112.3187(2). Castro v. School Bd. of Manatee County, Fla., 903 F. Supp. 2d 1290 (M.D. Fla. 2012).</w:t>
      </w:r>
    </w:p>
    <w:p w:rsidR="007A6EB4" w:rsidRDefault="006F3363">
      <w:pPr>
        <w:spacing w:before="200" w:line="300" w:lineRule="atLeast"/>
        <w:jc w:val="both"/>
      </w:pPr>
      <w:r>
        <w:rPr>
          <w:rFonts w:ascii="Arial" w:eastAsia="Arial" w:hAnsi="Arial" w:cs="Arial"/>
          <w:color w:val="000000"/>
        </w:rPr>
        <w:t>Employee failed to demonstrate that his employer's pr</w:t>
      </w:r>
      <w:r>
        <w:rPr>
          <w:rFonts w:ascii="Arial" w:eastAsia="Arial" w:hAnsi="Arial" w:cs="Arial"/>
          <w:color w:val="000000"/>
        </w:rPr>
        <w:t>offered legitimate, nondiscriminatory reason for terminating his employment, specifically his multiple job performance issues, was mere pretext for discrimination in violation of ADA and Florida Civil Rights Act (FCRA); although employee had received favor</w:t>
      </w:r>
      <w:r>
        <w:rPr>
          <w:rFonts w:ascii="Arial" w:eastAsia="Arial" w:hAnsi="Arial" w:cs="Arial"/>
          <w:color w:val="000000"/>
        </w:rPr>
        <w:t xml:space="preserve">able evaluations over a long period until about one month prior to his termination, employer believed that he had committed a series of infractions that required his termination. Americans with Disabilities Act of 1990, § 2 et seq., 42 U.S.C.A. § 12101 et </w:t>
      </w:r>
      <w:r>
        <w:rPr>
          <w:rFonts w:ascii="Arial" w:eastAsia="Arial" w:hAnsi="Arial" w:cs="Arial"/>
          <w:color w:val="000000"/>
        </w:rPr>
        <w:t>seq.; West's F.S.A. § 760.10 et seq. Corning v. LodgeNet Interactive Corp., 896 F. Supp. 2d 1138 (M.D. Fla. 2012).</w:t>
      </w:r>
    </w:p>
    <w:p w:rsidR="007A6EB4" w:rsidRDefault="006F3363">
      <w:pPr>
        <w:spacing w:before="200" w:line="300" w:lineRule="atLeast"/>
        <w:jc w:val="both"/>
      </w:pPr>
      <w:r>
        <w:rPr>
          <w:rFonts w:ascii="Arial" w:eastAsia="Arial" w:hAnsi="Arial" w:cs="Arial"/>
          <w:color w:val="000000"/>
        </w:rPr>
        <w:t xml:space="preserve">Florida Bar's articulated reasons for selecting other applicants over African-American employee for promotions to positions as </w:t>
      </w:r>
      <w:r>
        <w:rPr>
          <w:rFonts w:ascii="Arial" w:eastAsia="Arial" w:hAnsi="Arial" w:cs="Arial"/>
          <w:color w:val="000000"/>
        </w:rPr>
        <w:t>Director of the Center for Professionalism and Director of the Attorney Consumer Assistance Program, that successful applicants had significantly more experience, were legitimate and nondiscriminatory and were not shown by unsuccessful African-American emp</w:t>
      </w:r>
      <w:r>
        <w:rPr>
          <w:rFonts w:ascii="Arial" w:eastAsia="Arial" w:hAnsi="Arial" w:cs="Arial"/>
          <w:color w:val="000000"/>
        </w:rPr>
        <w:t>loyee to be pretext for discrimination based on race. Civil Rights Act of 1964, § 701 et seq., 42 U.S.C.A. § 2000e et seq.; West's F.S.A. § 760.01 et seq. Fleming v. The Florida Bar, 994 F. Supp. 2d 1255 (N.D. Fla. 2014).</w:t>
      </w:r>
    </w:p>
    <w:p w:rsidR="007A6EB4" w:rsidRDefault="006F3363">
      <w:pPr>
        <w:spacing w:before="200" w:line="300" w:lineRule="atLeast"/>
        <w:jc w:val="both"/>
      </w:pPr>
      <w:r>
        <w:rPr>
          <w:rFonts w:ascii="Arial" w:eastAsia="Arial" w:hAnsi="Arial" w:cs="Arial"/>
          <w:color w:val="000000"/>
        </w:rPr>
        <w:t>Even assuming that 69-year-old emp</w:t>
      </w:r>
      <w:r>
        <w:rPr>
          <w:rFonts w:ascii="Arial" w:eastAsia="Arial" w:hAnsi="Arial" w:cs="Arial"/>
          <w:color w:val="000000"/>
        </w:rPr>
        <w:t>loyee, whose position was eliminated during reduction in force, established a prima facie case of age discrimination under the ADEA and Florida Civil Rights Act (FCRA), employer's legitimate, non-discriminatory reason for employee's termination, namely, th</w:t>
      </w:r>
      <w:r>
        <w:rPr>
          <w:rFonts w:ascii="Arial" w:eastAsia="Arial" w:hAnsi="Arial" w:cs="Arial"/>
          <w:color w:val="000000"/>
        </w:rPr>
        <w:t>at employer was compelled to terminate employee's position during a massive reduction in force to reduce costs, was not pretext for age discrimination, given that employee had the highest salary of all employees doing similar or more work and numerous empl</w:t>
      </w:r>
      <w:r>
        <w:rPr>
          <w:rFonts w:ascii="Arial" w:eastAsia="Arial" w:hAnsi="Arial" w:cs="Arial"/>
          <w:color w:val="000000"/>
        </w:rPr>
        <w:t xml:space="preserve">oyees </w:t>
      </w:r>
      <w:r>
        <w:rPr>
          <w:rFonts w:ascii="Arial" w:eastAsia="Arial" w:hAnsi="Arial" w:cs="Arial"/>
          <w:color w:val="000000"/>
        </w:rPr>
        <w:lastRenderedPageBreak/>
        <w:t xml:space="preserve">outside of employee's protected class also were laid off. Age Discrimination in Employment Act of 1967, § 4(a)(1), 29 U.S.C.A. § 623(a)(1); West's F.S.A. § 760.10(1)(a). Margolis v. Public Health Trust of Miami-Dade County, 89 F. Supp. 3d 1343 (S.D. </w:t>
      </w:r>
      <w:r>
        <w:rPr>
          <w:rFonts w:ascii="Arial" w:eastAsia="Arial" w:hAnsi="Arial" w:cs="Arial"/>
          <w:color w:val="000000"/>
        </w:rPr>
        <w:t>Fla. 2015).</w:t>
      </w:r>
    </w:p>
    <w:p w:rsidR="007A6EB4" w:rsidRDefault="006F3363">
      <w:pPr>
        <w:spacing w:before="200" w:line="300" w:lineRule="atLeast"/>
        <w:jc w:val="both"/>
      </w:pPr>
      <w:r>
        <w:rPr>
          <w:rFonts w:ascii="Arial" w:eastAsia="Arial" w:hAnsi="Arial" w:cs="Arial"/>
          <w:color w:val="000000"/>
        </w:rPr>
        <w:t>Supervisor's alleged comment that 69-year-old doctor was "winding down his career," statement by a scheduling receptionist who told a patient that employee had retired, and correspondence sent out by hospital to doctor's patients explaining tha</w:t>
      </w:r>
      <w:r>
        <w:rPr>
          <w:rFonts w:ascii="Arial" w:eastAsia="Arial" w:hAnsi="Arial" w:cs="Arial"/>
          <w:color w:val="000000"/>
        </w:rPr>
        <w:t>t he was "taking this opportunity to pursue other interests" did not show that hospital's proffered reason for eliminating doctor's position during reduction in force was pretext for age discrimination, in violation of the ADEA and Florida Civil Rights Act</w:t>
      </w:r>
      <w:r>
        <w:rPr>
          <w:rFonts w:ascii="Arial" w:eastAsia="Arial" w:hAnsi="Arial" w:cs="Arial"/>
          <w:color w:val="000000"/>
        </w:rPr>
        <w:t xml:space="preserve"> (FCRA); statements were too vague to prove generalized discriminatory animus, receptionist was not involved in decision to terminate doctor, and correspondence did not indicate that age was a reason why doctor could no longer attend to his patients. Age D</w:t>
      </w:r>
      <w:r>
        <w:rPr>
          <w:rFonts w:ascii="Arial" w:eastAsia="Arial" w:hAnsi="Arial" w:cs="Arial"/>
          <w:color w:val="000000"/>
        </w:rPr>
        <w:t>iscrimination in Employment Act of 1967, § 4(a)(1), 29 U.S.C.A. § 623(a)(1); West's F.S.A. § 760.10(1)(a). Margolis v. Public Health Trust of Miami-Dade County, 89 F. Supp. 3d 1343 (S.D. Fla. 2015).</w:t>
      </w:r>
    </w:p>
    <w:p w:rsidR="007A6EB4" w:rsidRDefault="006F3363">
      <w:pPr>
        <w:spacing w:before="200" w:line="300" w:lineRule="atLeast"/>
        <w:jc w:val="both"/>
      </w:pPr>
      <w:r>
        <w:rPr>
          <w:rFonts w:ascii="Arial" w:eastAsia="Arial" w:hAnsi="Arial" w:cs="Arial"/>
          <w:color w:val="000000"/>
        </w:rPr>
        <w:t>African-American whose position as custodian at Florida c</w:t>
      </w:r>
      <w:r>
        <w:rPr>
          <w:rFonts w:ascii="Arial" w:eastAsia="Arial" w:hAnsi="Arial" w:cs="Arial"/>
          <w:color w:val="000000"/>
        </w:rPr>
        <w:t>ommunity college was eliminated as part of college-wide reduction in force (RIF) failed to establish prima facie case of race discrimination under Title VII or Florida Civil Rights Act (FCRA), absent showing that decisionmakers had discriminatory intent; a</w:t>
      </w:r>
      <w:r>
        <w:rPr>
          <w:rFonts w:ascii="Arial" w:eastAsia="Arial" w:hAnsi="Arial" w:cs="Arial"/>
          <w:color w:val="000000"/>
        </w:rPr>
        <w:t>lthough custodian asserted that the "mass layoff was perpetrated with the same racial discrimination against African-Americans as alleged throughout the Complaint because new Hispanic employees got to keep their positions, as opposed to African-American em</w:t>
      </w:r>
      <w:r>
        <w:rPr>
          <w:rFonts w:ascii="Arial" w:eastAsia="Arial" w:hAnsi="Arial" w:cs="Arial"/>
          <w:color w:val="000000"/>
        </w:rPr>
        <w:t xml:space="preserve">ployees who were laid off," that fact alone did not demonstrate that race was regarded as negative factor by decisionmakers or that he himself was not retained because of his race. Civil Rights Act of 1964, § 703(a)(1), 42 U.S.C.A. § 2000e-2(a)(1); West's </w:t>
      </w:r>
      <w:r>
        <w:rPr>
          <w:rFonts w:ascii="Arial" w:eastAsia="Arial" w:hAnsi="Arial" w:cs="Arial"/>
          <w:color w:val="000000"/>
        </w:rPr>
        <w:t>F.S.A. § 760.10(1)(a). Shedrick v. District Bd. of Trustees of Miami-Dade College, 941 F. Supp. 2d 1348 (S.D. Fla. 2013).</w:t>
      </w:r>
    </w:p>
    <w:p w:rsidR="007A6EB4" w:rsidRDefault="006F3363">
      <w:pPr>
        <w:spacing w:before="200" w:line="300" w:lineRule="atLeast"/>
        <w:jc w:val="both"/>
      </w:pPr>
      <w:r>
        <w:rPr>
          <w:rFonts w:ascii="Arial" w:eastAsia="Arial" w:hAnsi="Arial" w:cs="Arial"/>
          <w:color w:val="000000"/>
        </w:rPr>
        <w:t>Employer articulated legitimate nondiscriminatory reasons for terminating African-American employee of dental office, including fact t</w:t>
      </w:r>
      <w:r>
        <w:rPr>
          <w:rFonts w:ascii="Arial" w:eastAsia="Arial" w:hAnsi="Arial" w:cs="Arial"/>
          <w:color w:val="000000"/>
        </w:rPr>
        <w:t xml:space="preserve">hat patients complained about employee's service and demeanor, co-workers said that employee was difficult to work with and had a bad attitude, and employee left early when she was directly told not to and then came in late the very next workday after she </w:t>
      </w:r>
      <w:r>
        <w:rPr>
          <w:rFonts w:ascii="Arial" w:eastAsia="Arial" w:hAnsi="Arial" w:cs="Arial"/>
          <w:color w:val="000000"/>
        </w:rPr>
        <w:t>was reprimanded. Johnson v. Great Expressions Dental Centers of Florida, P.A., 132 So. 3d 1174 (Fla. 3d DCA 2014).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91" style="position:absolute;left:0;text-align:left;z-index:25186406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81"/>
          <w:headerReference w:type="default" r:id="rId182"/>
          <w:footerReference w:type="even" r:id="rId183"/>
          <w:footerReference w:type="default" r:id="rId184"/>
          <w:headerReference w:type="first" r:id="rId185"/>
          <w:footerReference w:type="first" r:id="rId186"/>
          <w:pgSz w:w="12240" w:h="15840"/>
          <w:pgMar w:top="840" w:right="1000" w:bottom="840" w:left="1000" w:header="400" w:footer="400" w:gutter="0"/>
          <w:cols w:space="720"/>
          <w:titlePg/>
        </w:sectPr>
      </w:pPr>
    </w:p>
    <w:p w:rsidR="007A6EB4" w:rsidRDefault="007A6EB4">
      <w:bookmarkStart w:id="30" w:name="Bookmark_30"/>
      <w:bookmarkEnd w:id="30"/>
    </w:p>
    <w:p w:rsidR="007A6EB4" w:rsidRDefault="006F3363">
      <w:r>
        <w:pict>
          <v:shape id="_x0000_i1054"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29</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 xml:space="preserve">C. Stating Employment </w:t>
      </w:r>
      <w:r>
        <w:rPr>
          <w:rFonts w:ascii="Arial" w:eastAsia="Arial" w:hAnsi="Arial" w:cs="Arial"/>
          <w:b/>
          <w:i/>
          <w:color w:val="000000"/>
          <w:sz w:val="22"/>
        </w:rPr>
        <w:t>Discrimination Case; Defenses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93" style="position:absolute;z-index:25168793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29 Defense that accommodation is impossible or causes undue hardship</w:t>
      </w:r>
    </w:p>
    <w:p w:rsidR="007A6EB4" w:rsidRDefault="006F3363">
      <w:pPr>
        <w:spacing w:line="60" w:lineRule="exact"/>
      </w:pPr>
      <w:r>
        <w:pict>
          <v:line id="_x0000_s1194" style="position:absolute;z-index:25173401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Once the employee makes a prima facie case of handicap discrimination, the employer must show either that the </w:t>
      </w:r>
      <w:r>
        <w:rPr>
          <w:rFonts w:ascii="Arial" w:eastAsia="Arial" w:hAnsi="Arial" w:cs="Arial"/>
          <w:color w:val="000000"/>
        </w:rPr>
        <w:t>plaintiff's handicap is such that it cannot possibly be accommodated or that even though the handicap could possibly be accommodated, the proposed accommodation is unreasonable because it would result in an undue hardship on the employer's activities.</w:t>
      </w:r>
      <w:r>
        <w:rPr>
          <w:rFonts w:ascii="Arial" w:eastAsia="Arial" w:hAnsi="Arial" w:cs="Arial"/>
          <w:vertAlign w:val="superscript"/>
        </w:rPr>
        <w:footnoteReference w:customMarkFollows="1" w:id="255"/>
        <w:t>n1</w:t>
      </w:r>
    </w:p>
    <w:p w:rsidR="007A6EB4" w:rsidRDefault="006F3363">
      <w:pPr>
        <w:spacing w:before="200" w:line="300" w:lineRule="atLeast"/>
        <w:jc w:val="both"/>
      </w:pPr>
      <w:r>
        <w:rPr>
          <w:rFonts w:ascii="Arial" w:eastAsia="Arial" w:hAnsi="Arial" w:cs="Arial"/>
          <w:color w:val="000000"/>
        </w:rPr>
        <w:t>Wh</w:t>
      </w:r>
      <w:r>
        <w:rPr>
          <w:rFonts w:ascii="Arial" w:eastAsia="Arial" w:hAnsi="Arial" w:cs="Arial"/>
          <w:color w:val="000000"/>
        </w:rPr>
        <w:t>ether the Florida Civil Rights Act imposes an obligation on the employer to gather information and explore all reasonable accommodations after the employee establishes a prima facie case of handicap discrimination is not certain, some courts holding that t</w:t>
      </w:r>
      <w:r>
        <w:rPr>
          <w:rFonts w:ascii="Arial" w:eastAsia="Arial" w:hAnsi="Arial" w:cs="Arial"/>
          <w:color w:val="000000"/>
        </w:rPr>
        <w:t>here is no such obligation</w:t>
      </w:r>
      <w:r>
        <w:rPr>
          <w:rFonts w:ascii="Arial" w:eastAsia="Arial" w:hAnsi="Arial" w:cs="Arial"/>
          <w:vertAlign w:val="superscript"/>
        </w:rPr>
        <w:footnoteReference w:customMarkFollows="1" w:id="256"/>
        <w:t>n2</w:t>
      </w:r>
      <w:r>
        <w:rPr>
          <w:rFonts w:ascii="Arial" w:eastAsia="Arial" w:hAnsi="Arial" w:cs="Arial"/>
          <w:color w:val="000000"/>
        </w:rPr>
        <w:t xml:space="preserve"> and others holding that the obligation exists.</w:t>
      </w:r>
      <w:r>
        <w:rPr>
          <w:rFonts w:ascii="Arial" w:eastAsia="Arial" w:hAnsi="Arial" w:cs="Arial"/>
          <w:vertAlign w:val="superscript"/>
        </w:rPr>
        <w:footnoteReference w:customMarkFollows="1" w:id="257"/>
        <w:t>n3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195" style="position:absolute;z-index:25178009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1019(5), 1024, 1104, 1107, 1111, 1113 to 1116, 1136 to 1138, 1140, 1141, 1164 to 1190, 1196, </w:t>
      </w:r>
      <w:r>
        <w:rPr>
          <w:rFonts w:ascii="Arial" w:eastAsia="Arial" w:hAnsi="Arial" w:cs="Arial"/>
          <w:color w:val="000000"/>
        </w:rPr>
        <w:t>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 xml:space="preserve">West's Key Number Digest, Labor and </w:t>
      </w:r>
      <w:r>
        <w:rPr>
          <w:rFonts w:ascii="Arial" w:eastAsia="Arial" w:hAnsi="Arial" w:cs="Arial"/>
          <w:color w:val="000000"/>
        </w:rPr>
        <w:t>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lastRenderedPageBreak/>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w:t>
      </w:r>
      <w:r>
        <w:rPr>
          <w:rFonts w:ascii="Arial" w:eastAsia="Arial" w:hAnsi="Arial" w:cs="Arial"/>
          <w:color w:val="000000"/>
        </w:rPr>
        <w:t>9 to 1016, 1019(3), 1019(5), 1024, 1104, 1107, 1111, 1113 to 1116, 1136 to 1138, 1140, 1141, 1164 to 1190, 1196, 1206, 1207, 1216 to 1218, 1225(1) to 1225(3), 1242 to 1245, 1261, 1262, 1536, 1544, 1545, 1553, 1703, 1704, 1710, 1720, 1727 to 1729, 1736, 174</w:t>
      </w:r>
      <w:r>
        <w:rPr>
          <w:rFonts w:ascii="Arial" w:eastAsia="Arial" w:hAnsi="Arial" w:cs="Arial"/>
          <w:color w:val="000000"/>
        </w:rPr>
        <w:t>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w:t>
      </w:r>
      <w:r>
        <w:rPr>
          <w:rFonts w:ascii="Arial" w:eastAsia="Arial" w:hAnsi="Arial" w:cs="Arial"/>
          <w:color w:val="000000"/>
        </w:rPr>
        <w: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 xml:space="preserve">Employment Discrimination Against Obese Persons, 111 Am. Jur. </w:t>
      </w:r>
      <w:r>
        <w:rPr>
          <w:rFonts w:ascii="Arial" w:eastAsia="Arial" w:hAnsi="Arial" w:cs="Arial"/>
          <w:color w:val="000000"/>
        </w:rPr>
        <w:t>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 xml:space="preserve">Proof of </w:t>
      </w:r>
      <w:r>
        <w:rPr>
          <w:rFonts w:ascii="Arial" w:eastAsia="Arial" w:hAnsi="Arial" w:cs="Arial"/>
          <w:color w:val="000000"/>
        </w:rPr>
        <w:t>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w:t>
      </w:r>
      <w:r>
        <w:rPr>
          <w:rFonts w:ascii="Arial" w:eastAsia="Arial" w:hAnsi="Arial" w:cs="Arial"/>
          <w:color w:val="000000"/>
        </w:rPr>
        <w:t>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w:t>
      </w:r>
      <w:r>
        <w:rPr>
          <w:rFonts w:ascii="Arial" w:eastAsia="Arial" w:hAnsi="Arial" w:cs="Arial"/>
          <w:color w:val="000000"/>
        </w:rPr>
        <w:t xml:space="preser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lastRenderedPageBreak/>
        <w:t>Employment Discrimination Claims Based on Mental Illness or Impairment Under the Americans With Di</w:t>
      </w:r>
      <w:r>
        <w:rPr>
          <w:rFonts w:ascii="Arial" w:eastAsia="Arial" w:hAnsi="Arial" w:cs="Arial"/>
          <w:color w:val="000000"/>
        </w:rPr>
        <w:t>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w:t>
      </w:r>
      <w:r>
        <w:rPr>
          <w:rFonts w:ascii="Arial" w:eastAsia="Arial" w:hAnsi="Arial" w:cs="Arial"/>
          <w:color w:val="000000"/>
        </w:rPr>
        <w: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w:t>
      </w:r>
      <w:r>
        <w:rPr>
          <w:rFonts w:ascii="Arial" w:eastAsia="Arial" w:hAnsi="Arial" w:cs="Arial"/>
          <w:color w:val="000000"/>
        </w:rPr>
        <w:t xml:space="preserve">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[westkey]1225(1) to 1</w:t>
      </w:r>
      <w:r>
        <w:rPr>
          <w:rFonts w:ascii="Arial" w:eastAsia="Arial" w:hAnsi="Arial" w:cs="Arial"/>
          <w:color w:val="000000"/>
        </w:rPr>
        <w:t>225(3), 1727 to 1729</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196" style="position:absolute;z-index:25182617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 xml:space="preserve">Special education instructor's request to arrive at public school between 8:15 and 8:30 in the morning was not a "reasonable accommodation," under the Florida Civil Rights Act (FCRA), for instructor's </w:t>
      </w:r>
      <w:r>
        <w:rPr>
          <w:rFonts w:ascii="Arial" w:eastAsia="Arial" w:hAnsi="Arial" w:cs="Arial"/>
          <w:color w:val="000000"/>
        </w:rPr>
        <w:t>chronic pain, where her arrival at that time would not allow her to perform essential duties of her position, which required her to start instructing students by 8:15. West's F.S.A. § 760.10 et seq. Barron v. School Bd. of Hillsborough County, 3 F. Supp. 3</w:t>
      </w:r>
      <w:r>
        <w:rPr>
          <w:rFonts w:ascii="Arial" w:eastAsia="Arial" w:hAnsi="Arial" w:cs="Arial"/>
          <w:color w:val="000000"/>
        </w:rPr>
        <w:t>d 1323 (M.D. Fla. 2014) (applying Florida law).</w:t>
      </w:r>
    </w:p>
    <w:p w:rsidR="007A6EB4" w:rsidRDefault="006F3363">
      <w:pPr>
        <w:spacing w:before="200" w:line="300" w:lineRule="atLeast"/>
        <w:jc w:val="both"/>
      </w:pPr>
      <w:r>
        <w:rPr>
          <w:rFonts w:ascii="Arial" w:eastAsia="Arial" w:hAnsi="Arial" w:cs="Arial"/>
          <w:color w:val="000000"/>
        </w:rPr>
        <w:t xml:space="preserve">An accommodation that simply eliminates, rather than enables the disabled employee to perform, an essential function of their job is per se unreasonable under the ADA and the Florida Civil Rights Act (FCRA). </w:t>
      </w:r>
      <w:r>
        <w:rPr>
          <w:rFonts w:ascii="Arial" w:eastAsia="Arial" w:hAnsi="Arial" w:cs="Arial"/>
          <w:color w:val="000000"/>
        </w:rPr>
        <w:t>Americans with Disabilities Act of 1990 § 101, 42 U.S.C.A. § 12111(9)(B); Fla. Stat. Ann. § 760.01 et seq. Leme v. Southern Baptist Hospital of Florida, Inc., 248 F. Supp. 3d 1319 (M.D. Fla. 2017).</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w:t>
      </w:r>
      <w:r>
        <w:rPr>
          <w:rFonts w:ascii="Arial" w:eastAsia="Arial" w:hAnsi="Arial" w:cs="Arial"/>
          <w:color w:val="000000"/>
          <w:sz w:val="20"/>
        </w:rPr>
        <w:t>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197" style="position:absolute;left:0;text-align:left;z-index:25186508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87"/>
          <w:headerReference w:type="default" r:id="rId188"/>
          <w:footerReference w:type="even" r:id="rId189"/>
          <w:footerReference w:type="default" r:id="rId190"/>
          <w:headerReference w:type="first" r:id="rId191"/>
          <w:footerReference w:type="first" r:id="rId192"/>
          <w:pgSz w:w="12240" w:h="15840"/>
          <w:pgMar w:top="840" w:right="1000" w:bottom="840" w:left="1000" w:header="400" w:footer="400" w:gutter="0"/>
          <w:cols w:space="720"/>
          <w:titlePg/>
        </w:sectPr>
      </w:pPr>
    </w:p>
    <w:p w:rsidR="007A6EB4" w:rsidRDefault="007A6EB4">
      <w:bookmarkStart w:id="31" w:name="Bookmark_31"/>
      <w:bookmarkEnd w:id="31"/>
    </w:p>
    <w:p w:rsidR="007A6EB4" w:rsidRDefault="006F3363">
      <w:r>
        <w:pict>
          <v:shape id="_x0000_i1055"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30</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 xml:space="preserve">B. </w:t>
      </w:r>
      <w:r>
        <w:rPr>
          <w:rFonts w:ascii="Arial" w:eastAsia="Arial" w:hAnsi="Arial" w:cs="Arial"/>
          <w:b/>
          <w:i/>
          <w:color w:val="000000"/>
          <w:sz w:val="22"/>
        </w:rPr>
        <w:t>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D. Other Statutory Protections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199" style="position:absolute;z-index:25168896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30 Equal pay for equal work; federal preemption</w:t>
      </w:r>
    </w:p>
    <w:p w:rsidR="007A6EB4" w:rsidRDefault="006F3363">
      <w:pPr>
        <w:spacing w:line="60" w:lineRule="exact"/>
      </w:pPr>
      <w:r>
        <w:pict>
          <v:line id="_x0000_s1200" style="position:absolute;z-index:25173504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Under the Labor Code, no employer may discriminate between employees on the basis o</w:t>
      </w:r>
      <w:r>
        <w:rPr>
          <w:rFonts w:ascii="Arial" w:eastAsia="Arial" w:hAnsi="Arial" w:cs="Arial"/>
          <w:color w:val="000000"/>
        </w:rPr>
        <w:t>f sex by paying wages to employees at a rate less than the rate at which he or she pays wages to employees of the opposite sex for equal work on jobs, the performance of which requires equal skill, effort, and responsibility and that are performed under si</w:t>
      </w:r>
      <w:r>
        <w:rPr>
          <w:rFonts w:ascii="Arial" w:eastAsia="Arial" w:hAnsi="Arial" w:cs="Arial"/>
          <w:color w:val="000000"/>
        </w:rPr>
        <w:t>milar working conditions, except when such payment is made pursuant to a:</w:t>
      </w:r>
      <w:r>
        <w:rPr>
          <w:rFonts w:ascii="Arial" w:eastAsia="Arial" w:hAnsi="Arial" w:cs="Arial"/>
          <w:vertAlign w:val="superscript"/>
        </w:rPr>
        <w:footnoteReference w:customMarkFollows="1" w:id="258"/>
        <w:t>n1</w:t>
      </w:r>
    </w:p>
    <w:p w:rsidR="007A6EB4" w:rsidRDefault="006F3363">
      <w:pPr>
        <w:spacing w:before="200" w:line="300" w:lineRule="atLeast"/>
        <w:jc w:val="both"/>
      </w:pPr>
      <w:r>
        <w:rPr>
          <w:rFonts w:ascii="Arial" w:eastAsia="Arial" w:hAnsi="Arial" w:cs="Arial"/>
          <w:color w:val="000000"/>
        </w:rPr>
        <w:t>(1)seniority system;</w:t>
      </w:r>
    </w:p>
    <w:p w:rsidR="007A6EB4" w:rsidRDefault="006F3363">
      <w:pPr>
        <w:spacing w:before="200" w:line="300" w:lineRule="atLeast"/>
        <w:jc w:val="both"/>
      </w:pPr>
      <w:r>
        <w:rPr>
          <w:rFonts w:ascii="Arial" w:eastAsia="Arial" w:hAnsi="Arial" w:cs="Arial"/>
          <w:color w:val="000000"/>
        </w:rPr>
        <w:t>(2)merit system;</w:t>
      </w:r>
    </w:p>
    <w:p w:rsidR="007A6EB4" w:rsidRDefault="006F3363">
      <w:pPr>
        <w:spacing w:before="200" w:line="300" w:lineRule="atLeast"/>
        <w:jc w:val="both"/>
      </w:pPr>
      <w:r>
        <w:rPr>
          <w:rFonts w:ascii="Arial" w:eastAsia="Arial" w:hAnsi="Arial" w:cs="Arial"/>
          <w:color w:val="000000"/>
        </w:rPr>
        <w:t>(3)system that measures earnings by quantity or quality of production; or</w:t>
      </w:r>
    </w:p>
    <w:p w:rsidR="007A6EB4" w:rsidRDefault="006F3363">
      <w:pPr>
        <w:spacing w:before="200" w:line="300" w:lineRule="atLeast"/>
        <w:jc w:val="both"/>
      </w:pPr>
      <w:r>
        <w:rPr>
          <w:rFonts w:ascii="Arial" w:eastAsia="Arial" w:hAnsi="Arial" w:cs="Arial"/>
          <w:color w:val="000000"/>
        </w:rPr>
        <w:t>(4)differential based on any reasonable factor other than sex when e</w:t>
      </w:r>
      <w:r>
        <w:rPr>
          <w:rFonts w:ascii="Arial" w:eastAsia="Arial" w:hAnsi="Arial" w:cs="Arial"/>
          <w:color w:val="000000"/>
        </w:rPr>
        <w:t>xercised in good faith.</w:t>
      </w:r>
    </w:p>
    <w:p w:rsidR="007A6EB4" w:rsidRDefault="006F3363">
      <w:pPr>
        <w:spacing w:before="200" w:line="300" w:lineRule="atLeast"/>
        <w:jc w:val="both"/>
      </w:pPr>
      <w:r>
        <w:rPr>
          <w:rFonts w:ascii="Arial" w:eastAsia="Arial" w:hAnsi="Arial" w:cs="Arial"/>
          <w:color w:val="000000"/>
        </w:rPr>
        <w:t xml:space="preserve">Definition: As used here, unless the context or subject matter clearly requires otherwise, "employee" means any individual employed by an employer, including individuals employed by the State or any of its political subdivisions or </w:t>
      </w:r>
      <w:r>
        <w:rPr>
          <w:rFonts w:ascii="Arial" w:eastAsia="Arial" w:hAnsi="Arial" w:cs="Arial"/>
          <w:color w:val="000000"/>
        </w:rPr>
        <w:t>instrumentalities of subdivisions,</w:t>
      </w:r>
      <w:r>
        <w:rPr>
          <w:rFonts w:ascii="Arial" w:eastAsia="Arial" w:hAnsi="Arial" w:cs="Arial"/>
          <w:vertAlign w:val="superscript"/>
        </w:rPr>
        <w:footnoteReference w:customMarkFollows="1" w:id="259"/>
        <w:t>n2</w:t>
      </w:r>
      <w:r>
        <w:rPr>
          <w:rFonts w:ascii="Arial" w:eastAsia="Arial" w:hAnsi="Arial" w:cs="Arial"/>
          <w:color w:val="000000"/>
        </w:rPr>
        <w:t xml:space="preserve"> and "employer" means any person who employs two or more employees.</w:t>
      </w:r>
      <w:r>
        <w:rPr>
          <w:rFonts w:ascii="Arial" w:eastAsia="Arial" w:hAnsi="Arial" w:cs="Arial"/>
          <w:vertAlign w:val="superscript"/>
        </w:rPr>
        <w:footnoteReference w:customMarkFollows="1" w:id="260"/>
        <w:t>n3</w:t>
      </w:r>
    </w:p>
    <w:p w:rsidR="007A6EB4" w:rsidRDefault="006F3363">
      <w:pPr>
        <w:spacing w:before="200" w:line="300" w:lineRule="atLeast"/>
        <w:jc w:val="both"/>
      </w:pPr>
      <w:r>
        <w:rPr>
          <w:rFonts w:ascii="Arial" w:eastAsia="Arial" w:hAnsi="Arial" w:cs="Arial"/>
          <w:color w:val="000000"/>
        </w:rPr>
        <w:t xml:space="preserve">Violators are liable to the employee for the difference between the amount that the employee was paid and the amount that should have been paid </w:t>
      </w:r>
      <w:r>
        <w:rPr>
          <w:rFonts w:ascii="Arial" w:eastAsia="Arial" w:hAnsi="Arial" w:cs="Arial"/>
          <w:color w:val="000000"/>
        </w:rPr>
        <w:t xml:space="preserve">although the employee may not recover </w:t>
      </w:r>
      <w:r>
        <w:rPr>
          <w:rFonts w:ascii="Arial" w:eastAsia="Arial" w:hAnsi="Arial" w:cs="Arial"/>
          <w:color w:val="000000"/>
        </w:rPr>
        <w:lastRenderedPageBreak/>
        <w:t>more than an amount equal to his or her unpaid wages while so employed for one year prior to the filing of the claim.</w:t>
      </w:r>
      <w:r>
        <w:rPr>
          <w:rFonts w:ascii="Arial" w:eastAsia="Arial" w:hAnsi="Arial" w:cs="Arial"/>
          <w:vertAlign w:val="superscript"/>
        </w:rPr>
        <w:footnoteReference w:customMarkFollows="1" w:id="261"/>
        <w:t>n4</w:t>
      </w:r>
    </w:p>
    <w:p w:rsidR="007A6EB4" w:rsidRDefault="006F3363">
      <w:pPr>
        <w:spacing w:before="200" w:line="300" w:lineRule="atLeast"/>
        <w:jc w:val="both"/>
      </w:pPr>
      <w:r>
        <w:rPr>
          <w:rFonts w:ascii="Arial" w:eastAsia="Arial" w:hAnsi="Arial" w:cs="Arial"/>
          <w:color w:val="000000"/>
        </w:rPr>
        <w:t>An action to recover such amount may be maintained by the aggrieved employee within six months aft</w:t>
      </w:r>
      <w:r>
        <w:rPr>
          <w:rFonts w:ascii="Arial" w:eastAsia="Arial" w:hAnsi="Arial" w:cs="Arial"/>
          <w:color w:val="000000"/>
        </w:rPr>
        <w:t>er termination of employment.</w:t>
      </w:r>
      <w:r>
        <w:rPr>
          <w:rFonts w:ascii="Arial" w:eastAsia="Arial" w:hAnsi="Arial" w:cs="Arial"/>
          <w:vertAlign w:val="superscript"/>
        </w:rPr>
        <w:footnoteReference w:customMarkFollows="1" w:id="262"/>
        <w:t>n5</w:t>
      </w:r>
      <w:r>
        <w:rPr>
          <w:rFonts w:ascii="Arial" w:eastAsia="Arial" w:hAnsi="Arial" w:cs="Arial"/>
          <w:color w:val="000000"/>
        </w:rPr>
        <w:t xml:space="preserve"> The court in such action may award to the prevailing party costs of the action and a reasonable attorney's fees.</w:t>
      </w:r>
      <w:r>
        <w:rPr>
          <w:rFonts w:ascii="Arial" w:eastAsia="Arial" w:hAnsi="Arial" w:cs="Arial"/>
          <w:vertAlign w:val="superscript"/>
        </w:rPr>
        <w:footnoteReference w:customMarkFollows="1" w:id="263"/>
        <w:t>n6</w:t>
      </w:r>
    </w:p>
    <w:p w:rsidR="007A6EB4" w:rsidRDefault="006F3363">
      <w:pPr>
        <w:spacing w:before="200" w:line="300" w:lineRule="atLeast"/>
        <w:jc w:val="both"/>
      </w:pPr>
      <w:r>
        <w:rPr>
          <w:rFonts w:ascii="Arial" w:eastAsia="Arial" w:hAnsi="Arial" w:cs="Arial"/>
          <w:color w:val="000000"/>
        </w:rPr>
        <w:t>Florida statutes also provide that no person may discriminate against any person based on sex, marital status</w:t>
      </w:r>
      <w:r>
        <w:rPr>
          <w:rFonts w:ascii="Arial" w:eastAsia="Arial" w:hAnsi="Arial" w:cs="Arial"/>
          <w:color w:val="000000"/>
        </w:rPr>
        <w:t>, or race in the area of providing equal pay for equal services performed.</w:t>
      </w:r>
      <w:r>
        <w:rPr>
          <w:rFonts w:ascii="Arial" w:eastAsia="Arial" w:hAnsi="Arial" w:cs="Arial"/>
          <w:vertAlign w:val="superscript"/>
        </w:rPr>
        <w:footnoteReference w:customMarkFollows="1" w:id="264"/>
        <w:t>n7</w:t>
      </w:r>
    </w:p>
    <w:p w:rsidR="007A6EB4" w:rsidRDefault="006F3363">
      <w:pPr>
        <w:spacing w:before="200" w:line="300" w:lineRule="atLeast"/>
        <w:jc w:val="both"/>
      </w:pPr>
      <w:r>
        <w:rPr>
          <w:rFonts w:ascii="Arial" w:eastAsia="Arial" w:hAnsi="Arial" w:cs="Arial"/>
          <w:color w:val="000000"/>
        </w:rPr>
        <w:t xml:space="preserve">Definition: For this purpose, the word "person" includes individuals, children, firms, associations, joint adventures, partnerships, estates, trusts, business trusts, syndicates, </w:t>
      </w:r>
      <w:r>
        <w:rPr>
          <w:rFonts w:ascii="Arial" w:eastAsia="Arial" w:hAnsi="Arial" w:cs="Arial"/>
          <w:color w:val="000000"/>
        </w:rPr>
        <w:t>fiduciaries, corporations, and all other groups or combinations.</w:t>
      </w:r>
      <w:r>
        <w:rPr>
          <w:rFonts w:ascii="Arial" w:eastAsia="Arial" w:hAnsi="Arial" w:cs="Arial"/>
          <w:vertAlign w:val="superscript"/>
        </w:rPr>
        <w:footnoteReference w:customMarkFollows="1" w:id="265"/>
        <w:t>n8</w:t>
      </w:r>
    </w:p>
    <w:p w:rsidR="007A6EB4" w:rsidRDefault="006F3363">
      <w:pPr>
        <w:spacing w:before="200" w:line="300" w:lineRule="atLeast"/>
        <w:jc w:val="both"/>
      </w:pPr>
      <w:r>
        <w:rPr>
          <w:rFonts w:ascii="Arial" w:eastAsia="Arial" w:hAnsi="Arial" w:cs="Arial"/>
          <w:color w:val="000000"/>
        </w:rPr>
        <w:t xml:space="preserve">A civil action may be brought by the individual upon whom the discrimination has been perpetrated, and he or she is entitled to collect compensatory damages, punitive damages, and </w:t>
      </w:r>
      <w:r>
        <w:rPr>
          <w:rFonts w:ascii="Arial" w:eastAsia="Arial" w:hAnsi="Arial" w:cs="Arial"/>
          <w:color w:val="000000"/>
        </w:rPr>
        <w:t>reasonable attorney's fees.</w:t>
      </w:r>
      <w:r>
        <w:rPr>
          <w:rFonts w:ascii="Arial" w:eastAsia="Arial" w:hAnsi="Arial" w:cs="Arial"/>
          <w:vertAlign w:val="superscript"/>
        </w:rPr>
        <w:footnoteReference w:customMarkFollows="1" w:id="266"/>
        <w:t>n9</w:t>
      </w:r>
    </w:p>
    <w:p w:rsidR="007A6EB4" w:rsidRDefault="006F3363">
      <w:pPr>
        <w:spacing w:before="200" w:line="300" w:lineRule="atLeast"/>
        <w:jc w:val="both"/>
      </w:pPr>
      <w:r>
        <w:rPr>
          <w:rFonts w:ascii="Arial" w:eastAsia="Arial" w:hAnsi="Arial" w:cs="Arial"/>
          <w:color w:val="000000"/>
        </w:rPr>
        <w:t>Practice Tip: Actions brought under the Florida Equal Pay Act</w:t>
      </w:r>
      <w:r>
        <w:rPr>
          <w:rFonts w:ascii="Arial" w:eastAsia="Arial" w:hAnsi="Arial" w:cs="Arial"/>
          <w:vertAlign w:val="superscript"/>
        </w:rPr>
        <w:footnoteReference w:customMarkFollows="1" w:id="267"/>
        <w:t>n10</w:t>
      </w:r>
      <w:r>
        <w:rPr>
          <w:rFonts w:ascii="Arial" w:eastAsia="Arial" w:hAnsi="Arial" w:cs="Arial"/>
          <w:color w:val="000000"/>
        </w:rPr>
        <w:t xml:space="preserve"> are subject to the four-year statute of limitations</w:t>
      </w:r>
      <w:r>
        <w:rPr>
          <w:rFonts w:ascii="Arial" w:eastAsia="Arial" w:hAnsi="Arial" w:cs="Arial"/>
          <w:vertAlign w:val="superscript"/>
        </w:rPr>
        <w:footnoteReference w:customMarkFollows="1" w:id="268"/>
        <w:t>n11</w:t>
      </w:r>
      <w:r>
        <w:rPr>
          <w:rFonts w:ascii="Arial" w:eastAsia="Arial" w:hAnsi="Arial" w:cs="Arial"/>
          <w:color w:val="000000"/>
        </w:rPr>
        <w:t xml:space="preserve"> applicable to actions founded on statutory liability.</w:t>
      </w:r>
      <w:r>
        <w:rPr>
          <w:rFonts w:ascii="Arial" w:eastAsia="Arial" w:hAnsi="Arial" w:cs="Arial"/>
          <w:vertAlign w:val="superscript"/>
        </w:rPr>
        <w:footnoteReference w:customMarkFollows="1" w:id="269"/>
        <w:t>n12</w:t>
      </w:r>
    </w:p>
    <w:p w:rsidR="007A6EB4" w:rsidRDefault="006F3363">
      <w:pPr>
        <w:spacing w:before="200" w:line="300" w:lineRule="atLeast"/>
        <w:jc w:val="both"/>
      </w:pPr>
      <w:r>
        <w:rPr>
          <w:rFonts w:ascii="Arial" w:eastAsia="Arial" w:hAnsi="Arial" w:cs="Arial"/>
          <w:color w:val="000000"/>
        </w:rPr>
        <w:t>Caution: Nothing in these state statutes</w:t>
      </w:r>
      <w:r>
        <w:rPr>
          <w:rFonts w:ascii="Arial" w:eastAsia="Arial" w:hAnsi="Arial" w:cs="Arial"/>
          <w:vertAlign w:val="superscript"/>
        </w:rPr>
        <w:footnoteReference w:customMarkFollows="1" w:id="270"/>
        <w:t>n13</w:t>
      </w:r>
      <w:r>
        <w:rPr>
          <w:rFonts w:ascii="Arial" w:eastAsia="Arial" w:hAnsi="Arial" w:cs="Arial"/>
          <w:color w:val="000000"/>
        </w:rPr>
        <w:t xml:space="preserve"> is ap</w:t>
      </w:r>
      <w:r>
        <w:rPr>
          <w:rFonts w:ascii="Arial" w:eastAsia="Arial" w:hAnsi="Arial" w:cs="Arial"/>
          <w:color w:val="000000"/>
        </w:rPr>
        <w:t>plicable to any employer, labor organization or member thereof, or employee whose employer is subject to the Federal Fair Labor Standards Act of 1938 as amended.</w:t>
      </w:r>
      <w:r>
        <w:rPr>
          <w:rFonts w:ascii="Arial" w:eastAsia="Arial" w:hAnsi="Arial" w:cs="Arial"/>
          <w:vertAlign w:val="superscript"/>
        </w:rPr>
        <w:footnoteReference w:customMarkFollows="1" w:id="271"/>
        <w:t>n14</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01" style="position:absolute;z-index:25178112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w:t>
      </w:r>
      <w:r>
        <w:rPr>
          <w:rFonts w:ascii="Arial" w:eastAsia="Arial" w:hAnsi="Arial" w:cs="Arial"/>
          <w:color w:val="000000"/>
        </w:rPr>
        <w:t>), 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lastRenderedPageBreak/>
        <w:t>West's Key N</w:t>
      </w:r>
      <w:r>
        <w:rPr>
          <w:rFonts w:ascii="Arial" w:eastAsia="Arial" w:hAnsi="Arial" w:cs="Arial"/>
          <w:color w:val="000000"/>
        </w:rPr>
        <w:t>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w:t>
      </w:r>
      <w:r>
        <w:rPr>
          <w:rFonts w:ascii="Arial" w:eastAsia="Arial" w:hAnsi="Arial" w:cs="Arial"/>
          <w:color w:val="000000"/>
        </w:rPr>
        <w:t>.L.R.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 to 1218, 1225(1) to 1225(3), 1242 to 1245, 1261</w:t>
      </w:r>
      <w:r>
        <w:rPr>
          <w:rFonts w:ascii="Arial" w:eastAsia="Arial" w:hAnsi="Arial" w:cs="Arial"/>
          <w:color w:val="000000"/>
        </w:rPr>
        <w:t>,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w:t>
      </w:r>
      <w:r>
        <w:rPr>
          <w:rFonts w:ascii="Arial" w:eastAsia="Arial" w:hAnsi="Arial" w:cs="Arial"/>
          <w:color w:val="000000"/>
        </w:rPr>
        <w:t>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 xml:space="preserve">Employment Discrimination </w:t>
      </w:r>
      <w:r>
        <w:rPr>
          <w:rFonts w:ascii="Arial" w:eastAsia="Arial" w:hAnsi="Arial" w:cs="Arial"/>
          <w:color w:val="000000"/>
        </w:rPr>
        <w:t>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w:t>
      </w:r>
      <w:r>
        <w:rPr>
          <w:rFonts w:ascii="Arial" w:eastAsia="Arial" w:hAnsi="Arial" w:cs="Arial"/>
          <w:color w:val="000000"/>
        </w:rPr>
        <w:t>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 xml:space="preserve">Employment Discrimination </w:t>
      </w:r>
      <w:r>
        <w:rPr>
          <w:rFonts w:ascii="Arial" w:eastAsia="Arial" w:hAnsi="Arial" w:cs="Arial"/>
          <w:color w:val="000000"/>
        </w:rPr>
        <w:t>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w:t>
      </w:r>
      <w:r>
        <w:rPr>
          <w:rFonts w:ascii="Arial" w:eastAsia="Arial" w:hAnsi="Arial" w:cs="Arial"/>
          <w:color w:val="000000"/>
        </w:rPr>
        <w:t>nt Act, 44 Am. Jur. Proof of Facts 3d 79</w:t>
      </w:r>
    </w:p>
    <w:p w:rsidR="007A6EB4" w:rsidRDefault="006F3363">
      <w:pPr>
        <w:spacing w:before="120" w:line="300" w:lineRule="atLeast"/>
      </w:pPr>
      <w:r>
        <w:rPr>
          <w:rFonts w:ascii="Arial" w:eastAsia="Arial" w:hAnsi="Arial" w:cs="Arial"/>
          <w:color w:val="000000"/>
        </w:rPr>
        <w:lastRenderedPageBreak/>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w:t>
      </w:r>
      <w:r>
        <w:rPr>
          <w:rFonts w:ascii="Arial" w:eastAsia="Arial" w:hAnsi="Arial" w:cs="Arial"/>
          <w:color w:val="000000"/>
        </w:rPr>
        <w:t>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w:t>
      </w:r>
      <w:r>
        <w:rPr>
          <w:rFonts w:ascii="Arial" w:eastAsia="Arial" w:hAnsi="Arial" w:cs="Arial"/>
          <w:color w:val="000000"/>
        </w:rPr>
        <w:t>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w:t>
      </w:r>
      <w:r>
        <w:rPr>
          <w:rFonts w:ascii="Arial" w:eastAsia="Arial" w:hAnsi="Arial" w:cs="Arial"/>
          <w:color w:val="000000"/>
        </w:rPr>
        <w: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w:t>
      </w:r>
      <w:r>
        <w:rPr>
          <w:rFonts w:ascii="Arial" w:eastAsia="Arial" w:hAnsi="Arial" w:cs="Arial"/>
          <w:color w:val="000000"/>
        </w:rPr>
        <w:t>ractice Forms §§ 85:40 to 85:44</w:t>
      </w:r>
    </w:p>
    <w:p w:rsidR="007A6EB4" w:rsidRDefault="006F3363">
      <w:pPr>
        <w:spacing w:before="120" w:line="300" w:lineRule="atLeast"/>
      </w:pPr>
      <w:r>
        <w:rPr>
          <w:rFonts w:ascii="Arial" w:eastAsia="Arial" w:hAnsi="Arial" w:cs="Arial"/>
          <w:color w:val="000000"/>
        </w:rPr>
        <w:t>West's Key Number Digest, Civil Rights [westkey]1136, 1175</w:t>
      </w:r>
    </w:p>
    <w:p w:rsidR="007A6EB4" w:rsidRDefault="006F3363">
      <w:pPr>
        <w:spacing w:before="120" w:line="300" w:lineRule="atLeast"/>
      </w:pPr>
      <w:r>
        <w:rPr>
          <w:rFonts w:ascii="Arial" w:eastAsia="Arial" w:hAnsi="Arial" w:cs="Arial"/>
          <w:color w:val="000000"/>
        </w:rPr>
        <w:t>West's Key Number Digest, Labor and Employment [westkey]2461, 2463</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Availability and scope of punitive damages under s</w:t>
      </w:r>
      <w:r>
        <w:rPr>
          <w:rFonts w:ascii="Arial" w:eastAsia="Arial" w:hAnsi="Arial" w:cs="Arial"/>
          <w:color w:val="000000"/>
        </w:rPr>
        <w:t>tate employment discrimination law, 81 A.L.R.5th 367</w:t>
      </w:r>
    </w:p>
    <w:p w:rsidR="007A6EB4" w:rsidRDefault="006F3363">
      <w:pPr>
        <w:spacing w:before="120" w:line="300" w:lineRule="atLeast"/>
      </w:pPr>
      <w:r>
        <w:rPr>
          <w:rFonts w:ascii="Arial" w:eastAsia="Arial" w:hAnsi="Arial" w:cs="Arial"/>
          <w:color w:val="000000"/>
        </w:rPr>
        <w:t>Florida Pleading and Practice Forms §§ 85:40, 85:41 (Complaint -- By employee -- Discrimination in wages on basis of sex)</w:t>
      </w:r>
    </w:p>
    <w:p w:rsidR="007A6EB4" w:rsidRDefault="006F3363">
      <w:pPr>
        <w:spacing w:before="120" w:line="300" w:lineRule="atLeast"/>
      </w:pPr>
      <w:r>
        <w:rPr>
          <w:rFonts w:ascii="Arial" w:eastAsia="Arial" w:hAnsi="Arial" w:cs="Arial"/>
          <w:color w:val="000000"/>
        </w:rPr>
        <w:t>Florida Pleading and Practice Forms § 85:42 (Answer -- Defense -- Difference in p</w:t>
      </w:r>
      <w:r>
        <w:rPr>
          <w:rFonts w:ascii="Arial" w:eastAsia="Arial" w:hAnsi="Arial" w:cs="Arial"/>
          <w:color w:val="000000"/>
        </w:rPr>
        <w:t>ay based on reasonable factor other than sex)</w:t>
      </w:r>
    </w:p>
    <w:p w:rsidR="007A6EB4" w:rsidRDefault="006F3363">
      <w:pPr>
        <w:spacing w:before="120" w:line="300" w:lineRule="atLeast"/>
      </w:pPr>
      <w:r>
        <w:rPr>
          <w:rFonts w:ascii="Arial" w:eastAsia="Arial" w:hAnsi="Arial" w:cs="Arial"/>
          <w:color w:val="000000"/>
        </w:rPr>
        <w:t>Florida Pleading and Practice Forms § 85:43 (Answer -- Defense -- Difference in pay based on seniority, merit, and quantity and quality of production systems)</w:t>
      </w:r>
    </w:p>
    <w:p w:rsidR="007A6EB4" w:rsidRDefault="006F3363">
      <w:pPr>
        <w:spacing w:before="120" w:line="300" w:lineRule="atLeast"/>
      </w:pPr>
      <w:r>
        <w:rPr>
          <w:rFonts w:ascii="Arial" w:eastAsia="Arial" w:hAnsi="Arial" w:cs="Arial"/>
          <w:color w:val="000000"/>
        </w:rPr>
        <w:t xml:space="preserve">Florida Pleading and Practice Forms § 85:44 </w:t>
      </w:r>
      <w:r>
        <w:rPr>
          <w:rFonts w:ascii="Arial" w:eastAsia="Arial" w:hAnsi="Arial" w:cs="Arial"/>
          <w:color w:val="000000"/>
        </w:rPr>
        <w:t>(Answer -- Defense -- Federal preemption; inapplicability of Florida statutes)</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02" style="position:absolute;left:0;text-align:left;z-index:25182720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93"/>
          <w:headerReference w:type="default" r:id="rId194"/>
          <w:footerReference w:type="even" r:id="rId195"/>
          <w:footerReference w:type="default" r:id="rId196"/>
          <w:headerReference w:type="first" r:id="rId197"/>
          <w:footerReference w:type="first" r:id="rId198"/>
          <w:pgSz w:w="12240" w:h="15840"/>
          <w:pgMar w:top="840" w:right="1000" w:bottom="840" w:left="1000" w:header="400" w:footer="400" w:gutter="0"/>
          <w:cols w:space="720"/>
          <w:titlePg/>
        </w:sectPr>
      </w:pPr>
    </w:p>
    <w:p w:rsidR="007A6EB4" w:rsidRDefault="007A6EB4">
      <w:bookmarkStart w:id="32" w:name="Bookmark_32"/>
      <w:bookmarkEnd w:id="32"/>
    </w:p>
    <w:p w:rsidR="007A6EB4" w:rsidRDefault="006F3363">
      <w:r>
        <w:pict>
          <v:shape id="_x0000_i1056"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31</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D. Other Statutory Protections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04" style="position:absolute;z-index:25168998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Rachel M. Kane, </w:t>
      </w:r>
      <w:r>
        <w:rPr>
          <w:rFonts w:ascii="Arial" w:eastAsia="Arial" w:hAnsi="Arial" w:cs="Arial"/>
          <w:color w:val="000000"/>
        </w:rPr>
        <w:t>M.A., J.D.</w:t>
      </w:r>
    </w:p>
    <w:p w:rsidR="007A6EB4" w:rsidRDefault="006F3363">
      <w:pPr>
        <w:keepNext/>
        <w:spacing w:before="240" w:line="340" w:lineRule="atLeast"/>
      </w:pPr>
      <w:r>
        <w:rPr>
          <w:rFonts w:ascii="Arial" w:eastAsia="Arial" w:hAnsi="Arial" w:cs="Arial"/>
          <w:b/>
          <w:color w:val="000000"/>
          <w:sz w:val="28"/>
        </w:rPr>
        <w:t>§ 31 Discrimination against those having sickle-cell trait</w:t>
      </w:r>
    </w:p>
    <w:p w:rsidR="007A6EB4" w:rsidRDefault="006F3363">
      <w:pPr>
        <w:spacing w:line="60" w:lineRule="exact"/>
      </w:pPr>
      <w:r>
        <w:pict>
          <v:line id="_x0000_s1205" style="position:absolute;z-index:25173606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No person, firm, corporation, unincorporated association, state agency, unit of local government, or public or private entity may deny or refuse employment to or discharge a person fr</w:t>
      </w:r>
      <w:r>
        <w:rPr>
          <w:rFonts w:ascii="Arial" w:eastAsia="Arial" w:hAnsi="Arial" w:cs="Arial"/>
          <w:color w:val="000000"/>
        </w:rPr>
        <w:t>om employment solely because that person has the sickle-cell trait.</w:t>
      </w:r>
      <w:r>
        <w:rPr>
          <w:rFonts w:ascii="Arial" w:eastAsia="Arial" w:hAnsi="Arial" w:cs="Arial"/>
          <w:vertAlign w:val="superscript"/>
        </w:rPr>
        <w:footnoteReference w:customMarkFollows="1" w:id="272"/>
        <w:t>n1</w:t>
      </w:r>
    </w:p>
    <w:p w:rsidR="007A6EB4" w:rsidRDefault="006F3363">
      <w:pPr>
        <w:spacing w:before="200" w:line="300" w:lineRule="atLeast"/>
        <w:jc w:val="both"/>
      </w:pPr>
      <w:r>
        <w:rPr>
          <w:rFonts w:ascii="Arial" w:eastAsia="Arial" w:hAnsi="Arial" w:cs="Arial"/>
          <w:color w:val="000000"/>
        </w:rPr>
        <w:t>In addition, no person, firm, corporation, unincorporated association, state agency, unit of local government, or public or private entity may require screening or testing for the sickle</w:t>
      </w:r>
      <w:r>
        <w:rPr>
          <w:rFonts w:ascii="Arial" w:eastAsia="Arial" w:hAnsi="Arial" w:cs="Arial"/>
          <w:color w:val="000000"/>
        </w:rPr>
        <w:t>-cell trait as a condition for employment.</w:t>
      </w:r>
      <w:r>
        <w:rPr>
          <w:rFonts w:ascii="Arial" w:eastAsia="Arial" w:hAnsi="Arial" w:cs="Arial"/>
          <w:vertAlign w:val="superscript"/>
        </w:rPr>
        <w:footnoteReference w:customMarkFollows="1" w:id="273"/>
        <w:t>n2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06" style="position:absolute;z-index:25178214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 1206, 1207, 1216 to 1218, 1225(1)</w:t>
      </w:r>
      <w:r>
        <w:rPr>
          <w:rFonts w:ascii="Arial" w:eastAsia="Arial" w:hAnsi="Arial" w:cs="Arial"/>
          <w:color w:val="000000"/>
        </w:rPr>
        <w:t xml:space="preserve">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w:t>
      </w:r>
      <w:r>
        <w:rPr>
          <w:rFonts w:ascii="Arial" w:eastAsia="Arial" w:hAnsi="Arial" w:cs="Arial"/>
          <w:color w:val="000000"/>
        </w:rPr>
        <w: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lastRenderedPageBreak/>
        <w:t xml:space="preserve">A.L.R. Index, Discharge from </w:t>
      </w:r>
      <w:r>
        <w:rPr>
          <w:rFonts w:ascii="Arial" w:eastAsia="Arial" w:hAnsi="Arial" w:cs="Arial"/>
          <w:color w:val="000000"/>
        </w:rPr>
        <w:t>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Rights [westkey]1009 to 1016, 1019(3), 1019(5), </w:t>
      </w:r>
      <w:r>
        <w:rPr>
          <w:rFonts w:ascii="Arial" w:eastAsia="Arial" w:hAnsi="Arial" w:cs="Arial"/>
          <w:color w:val="000000"/>
        </w:rPr>
        <w:t>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w:t>
      </w:r>
      <w:r>
        <w:rPr>
          <w:rFonts w:ascii="Arial" w:eastAsia="Arial" w:hAnsi="Arial" w:cs="Arial"/>
          <w:color w:val="000000"/>
        </w:rPr>
        <w:t>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w:t>
      </w:r>
      <w:r>
        <w:rPr>
          <w:rFonts w:ascii="Arial" w:eastAsia="Arial" w:hAnsi="Arial" w:cs="Arial"/>
          <w:color w:val="000000"/>
        </w:rPr>
        <w:t>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 xml:space="preserve">Litigating </w:t>
      </w:r>
      <w:r>
        <w:rPr>
          <w:rFonts w:ascii="Arial" w:eastAsia="Arial" w:hAnsi="Arial" w:cs="Arial"/>
          <w:color w:val="000000"/>
        </w:rPr>
        <w:t>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w:t>
      </w:r>
      <w:r>
        <w:rPr>
          <w:rFonts w:ascii="Arial" w:eastAsia="Arial" w:hAnsi="Arial" w:cs="Arial"/>
          <w:color w:val="000000"/>
        </w:rPr>
        <w:t>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 xml:space="preserve">Sex </w:t>
      </w:r>
      <w:r>
        <w:rPr>
          <w:rFonts w:ascii="Arial" w:eastAsia="Arial" w:hAnsi="Arial" w:cs="Arial"/>
          <w:color w:val="000000"/>
        </w:rPr>
        <w:t>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w:t>
      </w:r>
      <w:r>
        <w:rPr>
          <w:rFonts w:ascii="Arial" w:eastAsia="Arial" w:hAnsi="Arial" w:cs="Arial"/>
          <w:color w:val="000000"/>
        </w:rPr>
        <w:t>.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w:t>
      </w:r>
      <w:r>
        <w:rPr>
          <w:rFonts w:ascii="Arial" w:eastAsia="Arial" w:hAnsi="Arial" w:cs="Arial"/>
          <w:color w:val="000000"/>
        </w:rPr>
        <w:t>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lastRenderedPageBreak/>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 xml:space="preserve">Sex </w:t>
      </w:r>
      <w:r>
        <w:rPr>
          <w:rFonts w:ascii="Arial" w:eastAsia="Arial" w:hAnsi="Arial" w:cs="Arial"/>
          <w:color w:val="000000"/>
        </w:rPr>
        <w:t>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w:t>
      </w:r>
      <w:r>
        <w:rPr>
          <w:rFonts w:ascii="Arial" w:eastAsia="Arial" w:hAnsi="Arial" w:cs="Arial"/>
          <w:color w:val="000000"/>
        </w:rPr>
        <w:t>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[westkey]1015</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w:t>
      </w:r>
      <w:r>
        <w:rPr>
          <w:rFonts w:ascii="Arial" w:eastAsia="Arial" w:hAnsi="Arial" w:cs="Arial"/>
          <w:color w:val="000000"/>
          <w:sz w:val="20"/>
        </w:rPr>
        <w:t>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07" style="position:absolute;left:0;text-align:left;z-index:25182822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199"/>
          <w:headerReference w:type="default" r:id="rId200"/>
          <w:footerReference w:type="even" r:id="rId201"/>
          <w:footerReference w:type="default" r:id="rId202"/>
          <w:headerReference w:type="first" r:id="rId203"/>
          <w:footerReference w:type="first" r:id="rId204"/>
          <w:pgSz w:w="12240" w:h="15840"/>
          <w:pgMar w:top="840" w:right="1000" w:bottom="840" w:left="1000" w:header="400" w:footer="400" w:gutter="0"/>
          <w:cols w:space="720"/>
          <w:titlePg/>
        </w:sectPr>
      </w:pPr>
    </w:p>
    <w:p w:rsidR="007A6EB4" w:rsidRDefault="007A6EB4">
      <w:bookmarkStart w:id="33" w:name="Bookmark_33"/>
      <w:bookmarkEnd w:id="33"/>
    </w:p>
    <w:p w:rsidR="007A6EB4" w:rsidRDefault="006F3363">
      <w:r>
        <w:pict>
          <v:shape id="_x0000_i1057"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32</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 xml:space="preserve">II. </w:t>
      </w:r>
      <w:r>
        <w:rPr>
          <w:rFonts w:ascii="Arial" w:eastAsia="Arial" w:hAnsi="Arial" w:cs="Arial"/>
          <w:b/>
          <w:i/>
          <w:color w:val="000000"/>
          <w:sz w:val="22"/>
        </w:rPr>
        <w:t>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1. In General</w:t>
      </w:r>
      <w:r>
        <w:rPr>
          <w:rFonts w:ascii="Arial" w:eastAsia="Arial" w:hAnsi="Arial" w:cs="Arial"/>
          <w:b/>
          <w:color w:val="000000"/>
          <w:sz w:val="22"/>
        </w:rPr>
        <w:t xml:space="preserve">  &gt;  </w:t>
      </w:r>
      <w:r>
        <w:rPr>
          <w:rFonts w:ascii="Arial" w:eastAsia="Arial" w:hAnsi="Arial" w:cs="Arial"/>
          <w:b/>
          <w:i/>
          <w:color w:val="000000"/>
          <w:sz w:val="22"/>
        </w:rPr>
        <w:t>D. Other Statutory Protections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09" style="position:absolute;z-index:25169100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32 Discrimination against those having AIDS</w:t>
      </w:r>
    </w:p>
    <w:p w:rsidR="007A6EB4" w:rsidRDefault="006F3363">
      <w:pPr>
        <w:spacing w:line="60" w:lineRule="exact"/>
      </w:pPr>
      <w:r>
        <w:pict>
          <v:line id="_x0000_s1210" style="position:absolute;z-index:25173708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Under Florida's Omnibus AIDS Act, an individual with, or percei</w:t>
      </w:r>
      <w:r>
        <w:rPr>
          <w:rFonts w:ascii="Arial" w:eastAsia="Arial" w:hAnsi="Arial" w:cs="Arial"/>
          <w:color w:val="000000"/>
        </w:rPr>
        <w:t>ved as having, acquired immune deficiency syndrome (AIDS), acquired-immune-deficiency-syndrome-related complex, or human immunodeficiency virus (HIV) has the same protections available to handicapped persons.</w:t>
      </w:r>
      <w:r>
        <w:rPr>
          <w:rFonts w:ascii="Arial" w:eastAsia="Arial" w:hAnsi="Arial" w:cs="Arial"/>
          <w:vertAlign w:val="superscript"/>
        </w:rPr>
        <w:footnoteReference w:customMarkFollows="1" w:id="274"/>
        <w:t>n1</w:t>
      </w:r>
      <w:r>
        <w:rPr>
          <w:rFonts w:ascii="Arial" w:eastAsia="Arial" w:hAnsi="Arial" w:cs="Arial"/>
          <w:color w:val="000000"/>
        </w:rPr>
        <w:t xml:space="preserve"> Thus, no person may require an individual to </w:t>
      </w:r>
      <w:r>
        <w:rPr>
          <w:rFonts w:ascii="Arial" w:eastAsia="Arial" w:hAnsi="Arial" w:cs="Arial"/>
          <w:color w:val="000000"/>
        </w:rPr>
        <w:t>take an AIDS test as a condition of hiring, promotion, or continued employment unless the absence of the viral infection is a bona fide occupational qualification for the job in question,</w:t>
      </w:r>
      <w:r>
        <w:rPr>
          <w:rFonts w:ascii="Arial" w:eastAsia="Arial" w:hAnsi="Arial" w:cs="Arial"/>
          <w:vertAlign w:val="superscript"/>
        </w:rPr>
        <w:footnoteReference w:customMarkFollows="1" w:id="275"/>
        <w:t>n2</w:t>
      </w:r>
      <w:r>
        <w:rPr>
          <w:rFonts w:ascii="Arial" w:eastAsia="Arial" w:hAnsi="Arial" w:cs="Arial"/>
          <w:color w:val="000000"/>
        </w:rPr>
        <w:t xml:space="preserve"> and no person may discriminate against a person in the employment </w:t>
      </w:r>
      <w:r>
        <w:rPr>
          <w:rFonts w:ascii="Arial" w:eastAsia="Arial" w:hAnsi="Arial" w:cs="Arial"/>
          <w:color w:val="000000"/>
        </w:rPr>
        <w:t>context on the basis of the knowledge or belief that the individual has taken an AIDS test or the results or perceived results of the test unless the absence of such infection is a bona fide occupation qualification of the job in question.</w:t>
      </w:r>
      <w:r>
        <w:rPr>
          <w:rFonts w:ascii="Arial" w:eastAsia="Arial" w:hAnsi="Arial" w:cs="Arial"/>
          <w:vertAlign w:val="superscript"/>
        </w:rPr>
        <w:footnoteReference w:customMarkFollows="1" w:id="276"/>
        <w:t>n3</w:t>
      </w:r>
      <w:r>
        <w:rPr>
          <w:rFonts w:ascii="Arial" w:eastAsia="Arial" w:hAnsi="Arial" w:cs="Arial"/>
          <w:color w:val="000000"/>
        </w:rPr>
        <w:t xml:space="preserve"> A person also </w:t>
      </w:r>
      <w:r>
        <w:rPr>
          <w:rFonts w:ascii="Arial" w:eastAsia="Arial" w:hAnsi="Arial" w:cs="Arial"/>
          <w:color w:val="000000"/>
        </w:rPr>
        <w:t>may not discriminate against an individual in the area of employment on the basis of the fact that the individual is a licensed health-care professional or health-care worker who treats or provides patient care to persons infected with the virus.</w:t>
      </w:r>
      <w:r>
        <w:rPr>
          <w:rFonts w:ascii="Arial" w:eastAsia="Arial" w:hAnsi="Arial" w:cs="Arial"/>
          <w:vertAlign w:val="superscript"/>
        </w:rPr>
        <w:footnoteReference w:customMarkFollows="1" w:id="277"/>
        <w:t>n4</w:t>
      </w:r>
    </w:p>
    <w:p w:rsidR="007A6EB4" w:rsidRDefault="006F3363">
      <w:pPr>
        <w:spacing w:before="200" w:line="300" w:lineRule="atLeast"/>
        <w:jc w:val="both"/>
      </w:pPr>
      <w:r>
        <w:rPr>
          <w:rFonts w:ascii="Arial" w:eastAsia="Arial" w:hAnsi="Arial" w:cs="Arial"/>
          <w:color w:val="000000"/>
        </w:rPr>
        <w:t xml:space="preserve">A </w:t>
      </w:r>
      <w:r>
        <w:rPr>
          <w:rFonts w:ascii="Arial" w:eastAsia="Arial" w:hAnsi="Arial" w:cs="Arial"/>
          <w:color w:val="000000"/>
        </w:rPr>
        <w:t>claim of employment discrimination under the Florida Omnibus AIDS Act does not require proof that a plaintiff's HIV condition amounts to a handicap or disability; the statute prohibits discrimination based upon even the "perceived results" of an HIV test w</w:t>
      </w:r>
      <w:r>
        <w:rPr>
          <w:rFonts w:ascii="Arial" w:eastAsia="Arial" w:hAnsi="Arial" w:cs="Arial"/>
          <w:color w:val="000000"/>
        </w:rPr>
        <w:t>ithout reference to the physical condition of the employee.</w:t>
      </w:r>
      <w:r>
        <w:rPr>
          <w:rFonts w:ascii="Arial" w:eastAsia="Arial" w:hAnsi="Arial" w:cs="Arial"/>
          <w:vertAlign w:val="superscript"/>
        </w:rPr>
        <w:footnoteReference w:customMarkFollows="1" w:id="278"/>
        <w:t>n5</w:t>
      </w:r>
    </w:p>
    <w:p w:rsidR="007A6EB4" w:rsidRDefault="006F3363">
      <w:pPr>
        <w:spacing w:before="200" w:line="300" w:lineRule="atLeast"/>
        <w:jc w:val="both"/>
      </w:pPr>
      <w:r>
        <w:rPr>
          <w:rFonts w:ascii="Arial" w:eastAsia="Arial" w:hAnsi="Arial" w:cs="Arial"/>
          <w:color w:val="000000"/>
        </w:rPr>
        <w:lastRenderedPageBreak/>
        <w:t>One aggrieved by such discrimination on the basis of AIDS has a right of action in the circuit court and may recover: (1) damages against a person who violates the provisions; (2) reasonable att</w:t>
      </w:r>
      <w:r>
        <w:rPr>
          <w:rFonts w:ascii="Arial" w:eastAsia="Arial" w:hAnsi="Arial" w:cs="Arial"/>
          <w:color w:val="000000"/>
        </w:rPr>
        <w:t>orney's fees; and (3) other appropriate relief, including an injunction.</w:t>
      </w:r>
      <w:r>
        <w:rPr>
          <w:rFonts w:ascii="Arial" w:eastAsia="Arial" w:hAnsi="Arial" w:cs="Arial"/>
          <w:vertAlign w:val="superscript"/>
        </w:rPr>
        <w:footnoteReference w:customMarkFollows="1" w:id="279"/>
        <w:t>n6</w:t>
      </w:r>
      <w:r>
        <w:rPr>
          <w:rFonts w:ascii="Arial" w:eastAsia="Arial" w:hAnsi="Arial" w:cs="Arial"/>
          <w:color w:val="000000"/>
        </w:rPr>
        <w:t xml:space="preserve"> This provision does not limit the right of an aggrieved person to recover damages or other relief under any other applicable law.</w:t>
      </w:r>
      <w:r>
        <w:rPr>
          <w:rFonts w:ascii="Arial" w:eastAsia="Arial" w:hAnsi="Arial" w:cs="Arial"/>
          <w:vertAlign w:val="superscript"/>
        </w:rPr>
        <w:footnoteReference w:customMarkFollows="1" w:id="280"/>
        <w:t>n7</w:t>
      </w:r>
      <w:r>
        <w:rPr>
          <w:rFonts w:ascii="Arial" w:eastAsia="Arial" w:hAnsi="Arial" w:cs="Arial"/>
          <w:color w:val="000000"/>
        </w:rPr>
        <w:t xml:space="preserve"> However, the Omnibus AIDS Act and the Florida Civ</w:t>
      </w:r>
      <w:r>
        <w:rPr>
          <w:rFonts w:ascii="Arial" w:eastAsia="Arial" w:hAnsi="Arial" w:cs="Arial"/>
          <w:color w:val="000000"/>
        </w:rPr>
        <w:t>il Rights Act impose the identical standards for evaluating employment discrimination.</w:t>
      </w:r>
      <w:r>
        <w:rPr>
          <w:rFonts w:ascii="Arial" w:eastAsia="Arial" w:hAnsi="Arial" w:cs="Arial"/>
          <w:vertAlign w:val="superscript"/>
        </w:rPr>
        <w:footnoteReference w:customMarkFollows="1" w:id="281"/>
        <w:t>n8</w:t>
      </w:r>
    </w:p>
    <w:p w:rsidR="007A6EB4" w:rsidRDefault="006F3363">
      <w:pPr>
        <w:spacing w:before="200" w:line="300" w:lineRule="atLeast"/>
        <w:jc w:val="both"/>
      </w:pPr>
      <w:r>
        <w:rPr>
          <w:rFonts w:ascii="Arial" w:eastAsia="Arial" w:hAnsi="Arial" w:cs="Arial"/>
          <w:color w:val="000000"/>
        </w:rPr>
        <w:t>An individual may not be sued privately in his or her personal capacity for violating the employment discrimination provisions of the Florida Omnibus AIDS Act.</w:t>
      </w:r>
      <w:r>
        <w:rPr>
          <w:rFonts w:ascii="Arial" w:eastAsia="Arial" w:hAnsi="Arial" w:cs="Arial"/>
          <w:vertAlign w:val="superscript"/>
        </w:rPr>
        <w:footnoteReference w:customMarkFollows="1" w:id="282"/>
        <w:t>n9</w:t>
      </w:r>
      <w:r>
        <w:rPr>
          <w:rFonts w:ascii="Arial" w:eastAsia="Arial" w:hAnsi="Arial" w:cs="Arial"/>
          <w:color w:val="000000"/>
        </w:rPr>
        <w:t xml:space="preserve"> Thus,</w:t>
      </w:r>
      <w:r>
        <w:rPr>
          <w:rFonts w:ascii="Arial" w:eastAsia="Arial" w:hAnsi="Arial" w:cs="Arial"/>
          <w:color w:val="000000"/>
        </w:rPr>
        <w:t xml:space="preserve"> an employer's officers cannot be held personally liable under Florida law for any discrimination against an employee on account of his or her HIV status.</w:t>
      </w:r>
      <w:r>
        <w:rPr>
          <w:rFonts w:ascii="Arial" w:eastAsia="Arial" w:hAnsi="Arial" w:cs="Arial"/>
          <w:vertAlign w:val="superscript"/>
        </w:rPr>
        <w:footnoteReference w:customMarkFollows="1" w:id="283"/>
        <w:t>n10</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11" style="position:absolute;z-index:25178316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Civil Rights [westkey]1009 to 1016, 1019(3), </w:t>
      </w:r>
      <w:r>
        <w:rPr>
          <w:rFonts w:ascii="Arial" w:eastAsia="Arial" w:hAnsi="Arial" w:cs="Arial"/>
          <w:color w:val="000000"/>
        </w:rPr>
        <w:t>1019(5), 1024, 1104, 1107, 1111, 1113 to 1116, 1136 to 1138, 1140, 1141, 1164 to 1190,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w:t>
      </w:r>
      <w:r>
        <w:rPr>
          <w:rFonts w:ascii="Arial" w:eastAsia="Arial" w:hAnsi="Arial" w:cs="Arial"/>
          <w:color w:val="000000"/>
        </w:rPr>
        <w:t xml:space="preserve">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w:t>
      </w:r>
      <w:r>
        <w:rPr>
          <w:rFonts w:ascii="Arial" w:eastAsia="Arial" w:hAnsi="Arial" w:cs="Arial"/>
          <w:color w:val="000000"/>
        </w:rPr>
        <w:t>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w:t>
      </w:r>
      <w:r>
        <w:rPr>
          <w:rFonts w:ascii="Arial" w:eastAsia="Arial" w:hAnsi="Arial" w:cs="Arial"/>
          <w:color w:val="000000"/>
        </w:rPr>
        <w:t>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 to 1218, 1225(1) to 1225(3), 1242 to 1245</w:t>
      </w:r>
      <w:r>
        <w:rPr>
          <w:rFonts w:ascii="Arial" w:eastAsia="Arial" w:hAnsi="Arial" w:cs="Arial"/>
          <w:color w:val="000000"/>
        </w:rPr>
        <w:t>, 1261, 1262, 1536, 1544, 1545, 1553, 1703, 1704, 1710, 1720, 1727 to 1729, 1736, 1740, 1744, 1808</w:t>
      </w:r>
    </w:p>
    <w:p w:rsidR="007A6EB4" w:rsidRDefault="006F3363">
      <w:pPr>
        <w:spacing w:before="120" w:line="300" w:lineRule="atLeast"/>
      </w:pPr>
      <w:r>
        <w:rPr>
          <w:rFonts w:ascii="Arial" w:eastAsia="Arial" w:hAnsi="Arial" w:cs="Arial"/>
          <w:color w:val="000000"/>
        </w:rPr>
        <w:lastRenderedPageBreak/>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w:t>
      </w:r>
      <w:r>
        <w:rPr>
          <w:rFonts w:ascii="Arial" w:eastAsia="Arial" w:hAnsi="Arial" w:cs="Arial"/>
          <w:color w:val="000000"/>
        </w:rPr>
        <w:t>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w:t>
      </w:r>
      <w:r>
        <w:rPr>
          <w:rFonts w:ascii="Arial" w:eastAsia="Arial" w:hAnsi="Arial" w:cs="Arial"/>
          <w:color w:val="000000"/>
        </w:rPr>
        <w:t>,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w:t>
      </w:r>
      <w:r>
        <w:rPr>
          <w:rFonts w:ascii="Arial" w:eastAsia="Arial" w:hAnsi="Arial" w:cs="Arial"/>
          <w:color w:val="000000"/>
        </w:rPr>
        <w: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 xml:space="preserve">Employment </w:t>
      </w:r>
      <w:r>
        <w:rPr>
          <w:rFonts w:ascii="Arial" w:eastAsia="Arial" w:hAnsi="Arial" w:cs="Arial"/>
          <w:color w:val="000000"/>
        </w:rPr>
        <w:t>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w:t>
      </w:r>
      <w:r>
        <w:rPr>
          <w:rFonts w:ascii="Arial" w:eastAsia="Arial" w:hAnsi="Arial" w:cs="Arial"/>
          <w:color w:val="000000"/>
        </w:rPr>
        <w: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 xml:space="preserve">Employment Handicap Discrimination Based on Gender Dysphoria (Transsexualism), 25 Am. Jur. Proof of </w:t>
      </w:r>
      <w:r>
        <w:rPr>
          <w:rFonts w:ascii="Arial" w:eastAsia="Arial" w:hAnsi="Arial" w:cs="Arial"/>
          <w:color w:val="000000"/>
        </w:rPr>
        <w:t>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w:t>
      </w:r>
      <w:r>
        <w:rPr>
          <w:rFonts w:ascii="Arial" w:eastAsia="Arial" w:hAnsi="Arial" w:cs="Arial"/>
          <w:color w:val="000000"/>
        </w:rPr>
        <w:t>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w:t>
      </w:r>
      <w:r>
        <w:rPr>
          <w:rFonts w:ascii="Arial" w:eastAsia="Arial" w:hAnsi="Arial" w:cs="Arial"/>
          <w:color w:val="000000"/>
        </w:rPr>
        <w:t xml:space="preserve">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w:t>
      </w:r>
      <w:r>
        <w:rPr>
          <w:rFonts w:ascii="Arial" w:eastAsia="Arial" w:hAnsi="Arial" w:cs="Arial"/>
          <w:color w:val="000000"/>
        </w:rPr>
        <w:t>rida Pleading and Practice Forms §§ 85:40 to 85:44</w:t>
      </w:r>
    </w:p>
    <w:p w:rsidR="007A6EB4" w:rsidRDefault="006F3363">
      <w:pPr>
        <w:spacing w:before="120" w:line="300" w:lineRule="atLeast"/>
      </w:pPr>
      <w:r>
        <w:rPr>
          <w:rFonts w:ascii="Arial" w:eastAsia="Arial" w:hAnsi="Arial" w:cs="Arial"/>
          <w:color w:val="000000"/>
        </w:rPr>
        <w:lastRenderedPageBreak/>
        <w:t>West's Key Number Digest, Civil Rights [westkey]1024</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w:t>
      </w:r>
      <w:r>
        <w:rPr>
          <w:rFonts w:ascii="Arial" w:eastAsia="Arial" w:hAnsi="Arial" w:cs="Arial"/>
          <w:color w:val="000000"/>
          <w:sz w:val="20"/>
        </w:rPr>
        <w:t xml:space="preserve">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12" style="position:absolute;left:0;text-align:left;z-index:25182924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05"/>
          <w:headerReference w:type="default" r:id="rId206"/>
          <w:footerReference w:type="even" r:id="rId207"/>
          <w:footerReference w:type="default" r:id="rId208"/>
          <w:headerReference w:type="first" r:id="rId209"/>
          <w:footerReference w:type="first" r:id="rId210"/>
          <w:pgSz w:w="12240" w:h="15840"/>
          <w:pgMar w:top="840" w:right="1000" w:bottom="840" w:left="1000" w:header="400" w:footer="400" w:gutter="0"/>
          <w:cols w:space="720"/>
          <w:titlePg/>
        </w:sectPr>
      </w:pPr>
    </w:p>
    <w:p w:rsidR="007A6EB4" w:rsidRDefault="007A6EB4">
      <w:bookmarkStart w:id="34" w:name="Bookmark_34"/>
      <w:bookmarkEnd w:id="34"/>
    </w:p>
    <w:p w:rsidR="007A6EB4" w:rsidRDefault="006F3363">
      <w:r>
        <w:pict>
          <v:shape id="_x0000_i1058"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33</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 xml:space="preserve">B. </w:t>
      </w:r>
      <w:r>
        <w:rPr>
          <w:rFonts w:ascii="Arial" w:eastAsia="Arial" w:hAnsi="Arial" w:cs="Arial"/>
          <w:b/>
          <w:i/>
          <w:color w:val="000000"/>
          <w:sz w:val="22"/>
        </w:rPr>
        <w:t>Discrimination in Employment</w:t>
      </w:r>
      <w:r>
        <w:rPr>
          <w:rFonts w:ascii="Arial" w:eastAsia="Arial" w:hAnsi="Arial" w:cs="Arial"/>
          <w:b/>
          <w:color w:val="000000"/>
          <w:sz w:val="22"/>
        </w:rPr>
        <w:t xml:space="preserve">  &gt;  </w:t>
      </w:r>
      <w:r>
        <w:rPr>
          <w:rFonts w:ascii="Arial" w:eastAsia="Arial" w:hAnsi="Arial" w:cs="Arial"/>
          <w:b/>
          <w:i/>
          <w:color w:val="000000"/>
          <w:sz w:val="22"/>
        </w:rPr>
        <w:t>2. Public Employment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14" style="position:absolute;z-index:25169203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33 Unlawful employment practices; remedies</w:t>
      </w:r>
    </w:p>
    <w:p w:rsidR="007A6EB4" w:rsidRDefault="006F3363">
      <w:pPr>
        <w:spacing w:line="60" w:lineRule="exact"/>
      </w:pPr>
      <w:r>
        <w:pict>
          <v:line id="_x0000_s1215" style="position:absolute;z-index:25173811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All appointments, terminations, assignments and maintenance of status, compensation, privileges, and other </w:t>
      </w:r>
      <w:r>
        <w:rPr>
          <w:rFonts w:ascii="Arial" w:eastAsia="Arial" w:hAnsi="Arial" w:cs="Arial"/>
          <w:color w:val="000000"/>
        </w:rPr>
        <w:t xml:space="preserve">terms and conditions of employment in state government must be made without regard to age, sex, race, religion, national origin, political affiliation, marital status, or handicap except when a specific sex, age, or physical requirement constitutes a bona </w:t>
      </w:r>
      <w:r>
        <w:rPr>
          <w:rFonts w:ascii="Arial" w:eastAsia="Arial" w:hAnsi="Arial" w:cs="Arial"/>
          <w:color w:val="000000"/>
        </w:rPr>
        <w:t>fide occupational qualification necessary to proper and efficient administration.</w:t>
      </w:r>
      <w:r>
        <w:rPr>
          <w:rFonts w:ascii="Arial" w:eastAsia="Arial" w:hAnsi="Arial" w:cs="Arial"/>
          <w:vertAlign w:val="superscript"/>
        </w:rPr>
        <w:footnoteReference w:customMarkFollows="1" w:id="284"/>
        <w:t>n1</w:t>
      </w:r>
      <w:r>
        <w:rPr>
          <w:rFonts w:ascii="Arial" w:eastAsia="Arial" w:hAnsi="Arial" w:cs="Arial"/>
          <w:color w:val="000000"/>
        </w:rPr>
        <w:t xml:space="preserve"> It is also against state public policy for the governing body of any county or municipal agency, board, commission, department, or office, solely because of the race, color</w:t>
      </w:r>
      <w:r>
        <w:rPr>
          <w:rFonts w:ascii="Arial" w:eastAsia="Arial" w:hAnsi="Arial" w:cs="Arial"/>
          <w:color w:val="000000"/>
        </w:rPr>
        <w:t xml:space="preserve">, national origin, sex, handicap, or religious creed of any individual, to refuse to hire or employ, to bar or discharge from employment, or to otherwise discriminate against any individual with respect to compensation or other privileges of employment if </w:t>
      </w:r>
      <w:r>
        <w:rPr>
          <w:rFonts w:ascii="Arial" w:eastAsia="Arial" w:hAnsi="Arial" w:cs="Arial"/>
          <w:color w:val="000000"/>
        </w:rPr>
        <w:t>the individual is the best able and most competent to perform the services required.</w:t>
      </w:r>
      <w:r>
        <w:rPr>
          <w:rFonts w:ascii="Arial" w:eastAsia="Arial" w:hAnsi="Arial" w:cs="Arial"/>
          <w:vertAlign w:val="superscript"/>
        </w:rPr>
        <w:footnoteReference w:customMarkFollows="1" w:id="285"/>
        <w:t>n2</w:t>
      </w:r>
      <w:r>
        <w:rPr>
          <w:rFonts w:ascii="Arial" w:eastAsia="Arial" w:hAnsi="Arial" w:cs="Arial"/>
          <w:color w:val="000000"/>
        </w:rPr>
        <w:t xml:space="preserve"> Additionally, it is state policy to assist in providing the assurance of equal employment opportunity through programs of affirmative and positive action that allows ful</w:t>
      </w:r>
      <w:r>
        <w:rPr>
          <w:rFonts w:ascii="Arial" w:eastAsia="Arial" w:hAnsi="Arial" w:cs="Arial"/>
          <w:color w:val="000000"/>
        </w:rPr>
        <w:t>l utilization of women and minorities.</w:t>
      </w:r>
      <w:r>
        <w:rPr>
          <w:rFonts w:ascii="Arial" w:eastAsia="Arial" w:hAnsi="Arial" w:cs="Arial"/>
          <w:vertAlign w:val="superscript"/>
        </w:rPr>
        <w:footnoteReference w:customMarkFollows="1" w:id="286"/>
        <w:t>n3</w:t>
      </w:r>
    </w:p>
    <w:p w:rsidR="007A6EB4" w:rsidRDefault="006F3363">
      <w:pPr>
        <w:spacing w:before="200" w:line="300" w:lineRule="atLeast"/>
        <w:jc w:val="both"/>
      </w:pPr>
      <w:r>
        <w:rPr>
          <w:rFonts w:ascii="Arial" w:eastAsia="Arial" w:hAnsi="Arial" w:cs="Arial"/>
          <w:color w:val="000000"/>
        </w:rPr>
        <w:t>In the case of state employment, an aggrieved individual may file a complaint with the Florida Commission on Human Relations.</w:t>
      </w:r>
      <w:r>
        <w:rPr>
          <w:rFonts w:ascii="Arial" w:eastAsia="Arial" w:hAnsi="Arial" w:cs="Arial"/>
          <w:vertAlign w:val="superscript"/>
        </w:rPr>
        <w:footnoteReference w:customMarkFollows="1" w:id="287"/>
        <w:t>n4</w:t>
      </w:r>
      <w:r>
        <w:rPr>
          <w:rFonts w:ascii="Arial" w:eastAsia="Arial" w:hAnsi="Arial" w:cs="Arial"/>
          <w:color w:val="000000"/>
        </w:rPr>
        <w:t xml:space="preserve"> In the case of county or municipal employment, an individual aggrieved by a decision, r</w:t>
      </w:r>
      <w:r>
        <w:rPr>
          <w:rFonts w:ascii="Arial" w:eastAsia="Arial" w:hAnsi="Arial" w:cs="Arial"/>
          <w:color w:val="000000"/>
        </w:rPr>
        <w:t xml:space="preserve">egulation, restriction, or resolution made by the governing body of a county or municipal agency, board, commission, or department and felt to be an unlawful employment practice may apply to the agency, board, commission, or department for </w:t>
      </w:r>
      <w:r>
        <w:rPr>
          <w:rFonts w:ascii="Arial" w:eastAsia="Arial" w:hAnsi="Arial" w:cs="Arial"/>
          <w:color w:val="000000"/>
        </w:rPr>
        <w:lastRenderedPageBreak/>
        <w:t xml:space="preserve">modification or </w:t>
      </w:r>
      <w:r>
        <w:rPr>
          <w:rFonts w:ascii="Arial" w:eastAsia="Arial" w:hAnsi="Arial" w:cs="Arial"/>
          <w:color w:val="000000"/>
        </w:rPr>
        <w:t>rescission. If the modification or rescission is refused, the individual may, within 30 days after refusal, institute original proceedings for relief in the circuit court of the county.</w:t>
      </w:r>
      <w:r>
        <w:rPr>
          <w:rFonts w:ascii="Arial" w:eastAsia="Arial" w:hAnsi="Arial" w:cs="Arial"/>
          <w:vertAlign w:val="superscript"/>
        </w:rPr>
        <w:footnoteReference w:customMarkFollows="1" w:id="288"/>
        <w:t>n5</w:t>
      </w:r>
    </w:p>
    <w:p w:rsidR="007A6EB4" w:rsidRDefault="006F3363">
      <w:pPr>
        <w:spacing w:before="200" w:line="300" w:lineRule="atLeast"/>
        <w:jc w:val="both"/>
      </w:pPr>
      <w:r>
        <w:rPr>
          <w:rFonts w:ascii="Arial" w:eastAsia="Arial" w:hAnsi="Arial" w:cs="Arial"/>
          <w:color w:val="000000"/>
        </w:rPr>
        <w:t>Practice Tip: The circuit court is not vested with exclusive jurisdi</w:t>
      </w:r>
      <w:r>
        <w:rPr>
          <w:rFonts w:ascii="Arial" w:eastAsia="Arial" w:hAnsi="Arial" w:cs="Arial"/>
          <w:color w:val="000000"/>
        </w:rPr>
        <w:t>ction to hear such cases but rather has concurrent jurisdiction with the Human Relations Commission because the Civil Rights Act endows the Commission with the power to investigate and hear discrimination complaints as well.</w:t>
      </w:r>
      <w:r>
        <w:rPr>
          <w:rFonts w:ascii="Arial" w:eastAsia="Arial" w:hAnsi="Arial" w:cs="Arial"/>
          <w:vertAlign w:val="superscript"/>
        </w:rPr>
        <w:footnoteReference w:customMarkFollows="1" w:id="289"/>
        <w:t>n6</w:t>
      </w:r>
      <w:r>
        <w:rPr>
          <w:rFonts w:ascii="Arial" w:eastAsia="Arial" w:hAnsi="Arial" w:cs="Arial"/>
          <w:color w:val="000000"/>
        </w:rPr>
        <w:t xml:space="preserve"> In addition, the statutory de</w:t>
      </w:r>
      <w:r>
        <w:rPr>
          <w:rFonts w:ascii="Arial" w:eastAsia="Arial" w:hAnsi="Arial" w:cs="Arial"/>
          <w:color w:val="000000"/>
        </w:rPr>
        <w:t>finition of persons who are included as employers within the purview of the protections of the Florida Civil Rights Act includes the state and governmental entities and agencies.</w:t>
      </w:r>
      <w:r>
        <w:rPr>
          <w:rFonts w:ascii="Arial" w:eastAsia="Arial" w:hAnsi="Arial" w:cs="Arial"/>
          <w:vertAlign w:val="superscript"/>
        </w:rPr>
        <w:footnoteReference w:customMarkFollows="1" w:id="290"/>
        <w:t>n7</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16" style="position:absolute;z-index:25178419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w:t>
      </w:r>
      <w:r>
        <w:rPr>
          <w:rFonts w:ascii="Arial" w:eastAsia="Arial" w:hAnsi="Arial" w:cs="Arial"/>
          <w:color w:val="000000"/>
        </w:rPr>
        <w:t xml:space="preserve"> 1019(3), 1019(5), 1024, 1104, 1107, 1111, 1113 to 1116, 1136 to 1138, 1140, 1141, 1164 to 1190, 1196, 1206, 1207, 1216 to 1218, 1225(1) to 1225(3), 1242 to 1245, 1261, 1262, 1536, 1544, 1545, 1553, 1703, 1704, 1710, 1720, 1727 to 1729, 1736, 1740, 1744, 1</w:t>
      </w:r>
      <w:r>
        <w:rPr>
          <w:rFonts w:ascii="Arial" w:eastAsia="Arial" w:hAnsi="Arial" w:cs="Arial"/>
          <w:color w:val="000000"/>
        </w:rPr>
        <w:t>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w:t>
      </w:r>
      <w:r>
        <w:rPr>
          <w:rFonts w:ascii="Arial" w:eastAsia="Arial" w:hAnsi="Arial" w:cs="Arial"/>
          <w:color w:val="000000"/>
        </w:rPr>
        <w:t xml:space="preserve">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w:t>
      </w:r>
      <w:r>
        <w:rPr>
          <w:rFonts w:ascii="Arial" w:eastAsia="Arial" w:hAnsi="Arial" w:cs="Arial"/>
          <w:color w:val="000000"/>
        </w:rPr>
        <w:t>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[westkey]1009 to 1016, 1019(3), 1019(5), 1024, 1104, 1107, 1111, 1113 to 1116, 1136 to 1138, 1140, 1141, 1164 to 1190, 1196, 1206, 1207, 1216 to 1218, 1225(1) to 1225(3), 12</w:t>
      </w:r>
      <w:r>
        <w:rPr>
          <w:rFonts w:ascii="Arial" w:eastAsia="Arial" w:hAnsi="Arial" w:cs="Arial"/>
          <w:color w:val="000000"/>
        </w:rPr>
        <w:t>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lastRenderedPageBreak/>
        <w:t>West's A.L.R. Digest, Offic</w:t>
      </w:r>
      <w:r>
        <w:rPr>
          <w:rFonts w:ascii="Arial" w:eastAsia="Arial" w:hAnsi="Arial" w:cs="Arial"/>
          <w:color w:val="000000"/>
        </w:rPr>
        <w:t>ers and Public Employees [westkey]8, 9, 11, 19, 49, 61, 69.2</w:t>
      </w:r>
    </w:p>
    <w:p w:rsidR="007A6EB4" w:rsidRDefault="006F3363">
      <w:pPr>
        <w:spacing w:before="120" w:line="300" w:lineRule="atLeast"/>
      </w:pPr>
      <w:r>
        <w:rPr>
          <w:rFonts w:ascii="Arial" w:eastAsia="Arial" w:hAnsi="Arial" w:cs="Arial"/>
          <w:color w:val="000000"/>
        </w:rPr>
        <w:t>West's A.L.R. Digest,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 xml:space="preserve">Employment </w:t>
      </w:r>
      <w:r>
        <w:rPr>
          <w:rFonts w:ascii="Arial" w:eastAsia="Arial" w:hAnsi="Arial" w:cs="Arial"/>
          <w:color w:val="000000"/>
        </w:rPr>
        <w:t>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 xml:space="preserve">Proof of Employer Liability for </w:t>
      </w:r>
      <w:r>
        <w:rPr>
          <w:rFonts w:ascii="Arial" w:eastAsia="Arial" w:hAnsi="Arial" w:cs="Arial"/>
          <w:color w:val="000000"/>
        </w:rPr>
        <w:t>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w:t>
      </w:r>
      <w:r>
        <w:rPr>
          <w:rFonts w:ascii="Arial" w:eastAsia="Arial" w:hAnsi="Arial" w:cs="Arial"/>
          <w:color w:val="000000"/>
        </w:rPr>
        <w:t>loyment Discrimination on the Basis of Mental Disability Under the Americans with Disabilities Act, 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w:t>
      </w:r>
      <w:r>
        <w:rPr>
          <w:rFonts w:ascii="Arial" w:eastAsia="Arial" w:hAnsi="Arial" w:cs="Arial"/>
          <w:color w:val="000000"/>
        </w:rPr>
        <w:t>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w:t>
      </w:r>
      <w:r>
        <w:rPr>
          <w:rFonts w:ascii="Arial" w:eastAsia="Arial" w:hAnsi="Arial" w:cs="Arial"/>
          <w:color w:val="000000"/>
        </w:rPr>
        <w:t xml:space="preserve">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w:t>
      </w:r>
      <w:r>
        <w:rPr>
          <w:rFonts w:ascii="Arial" w:eastAsia="Arial" w:hAnsi="Arial" w:cs="Arial"/>
          <w:color w:val="000000"/>
        </w:rPr>
        <w:t>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 xml:space="preserve">Am. </w:t>
      </w:r>
      <w:r>
        <w:rPr>
          <w:rFonts w:ascii="Arial" w:eastAsia="Arial" w:hAnsi="Arial" w:cs="Arial"/>
          <w:color w:val="000000"/>
        </w:rPr>
        <w:t>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[westkey]1009 to 1015, 1116, 1704, 1736</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keepNext/>
        <w:spacing w:before="240" w:line="340" w:lineRule="atLeast"/>
      </w:pPr>
      <w:r>
        <w:lastRenderedPageBreak/>
        <w:br/>
      </w:r>
      <w:r>
        <w:rPr>
          <w:rFonts w:ascii="Arial" w:eastAsia="Arial" w:hAnsi="Arial" w:cs="Arial"/>
          <w:b/>
          <w:color w:val="000000"/>
          <w:sz w:val="28"/>
        </w:rPr>
        <w:t>Supplement</w:t>
      </w:r>
    </w:p>
    <w:p w:rsidR="007A6EB4" w:rsidRDefault="006F3363">
      <w:pPr>
        <w:spacing w:line="60" w:lineRule="exact"/>
      </w:pPr>
      <w:r>
        <w:pict>
          <v:line id="_x0000_s1217" style="position:absolute;z-index:25183027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110.112(1), Fla. Stat. was amended, effective July 1, 2016, to replace the phrase: "allow full utilization of women and minorities" with "allow full utilization of women, minorities, and individuals who have a disability."</w:t>
      </w:r>
    </w:p>
    <w:p w:rsidR="007A6EB4" w:rsidRDefault="006F3363">
      <w:pPr>
        <w:spacing w:before="200" w:line="300" w:lineRule="atLeast"/>
        <w:jc w:val="both"/>
      </w:pPr>
      <w:r>
        <w:rPr>
          <w:rFonts w:ascii="Arial" w:eastAsia="Arial" w:hAnsi="Arial" w:cs="Arial"/>
          <w:color w:val="000000"/>
        </w:rPr>
        <w:t>§ 110.105(2), Fla. Sta</w:t>
      </w:r>
      <w:r>
        <w:rPr>
          <w:rFonts w:ascii="Arial" w:eastAsia="Arial" w:hAnsi="Arial" w:cs="Arial"/>
          <w:color w:val="000000"/>
        </w:rPr>
        <w:t>t. was redesignated as § 110.105(2)(a), Fla. Stat., effective July 1, 2012, and,as amended, revised the employment policy of the state system of personnel management;as such, the subsection now provides, that it is the policy of the state that all appointm</w:t>
      </w:r>
      <w:r>
        <w:rPr>
          <w:rFonts w:ascii="Arial" w:eastAsia="Arial" w:hAnsi="Arial" w:cs="Arial"/>
          <w:color w:val="000000"/>
        </w:rPr>
        <w:t xml:space="preserve">ents, terminations, assignments, and maintenance of status, compensation, privileges, and other terms and conditions of employment in state government shall be made without regard to age, sex, race, color, religion, national origin, political affiliation, </w:t>
      </w:r>
      <w:r>
        <w:rPr>
          <w:rFonts w:ascii="Arial" w:eastAsia="Arial" w:hAnsi="Arial" w:cs="Arial"/>
          <w:color w:val="000000"/>
        </w:rPr>
        <w:t>marital status, or disability, unless a specific requirement constitutes a bona fide occupational qualification.</w:t>
      </w:r>
    </w:p>
    <w:p w:rsidR="007A6EB4" w:rsidRDefault="006F3363">
      <w:pPr>
        <w:spacing w:before="200" w:line="300" w:lineRule="atLeast"/>
        <w:jc w:val="both"/>
      </w:pPr>
      <w:r>
        <w:rPr>
          <w:rFonts w:ascii="Arial" w:eastAsia="Arial" w:hAnsi="Arial" w:cs="Arial"/>
          <w:color w:val="000000"/>
        </w:rPr>
        <w:t>§ 110.105(2)(b), Fla. Stat., as added, effective July 1, 2012, provides that it is the policy of the state to support employees in balancing th</w:t>
      </w:r>
      <w:r>
        <w:rPr>
          <w:rFonts w:ascii="Arial" w:eastAsia="Arial" w:hAnsi="Arial" w:cs="Arial"/>
          <w:color w:val="000000"/>
        </w:rPr>
        <w:t>eir personal needs and work responsibilities. This policy shall be designed to enhance the employee's ability to blend the competing demands of work and personal life and produce a more skilled, accountable, and committed workforce for the system. Provisio</w:t>
      </w:r>
      <w:r>
        <w:rPr>
          <w:rFonts w:ascii="Arial" w:eastAsia="Arial" w:hAnsi="Arial" w:cs="Arial"/>
          <w:color w:val="000000"/>
        </w:rPr>
        <w:t>ns may include, but need not be limited to, flexible work schedules, telework, part-time employment, and leaves of absence with or without pay.</w:t>
      </w:r>
    </w:p>
    <w:p w:rsidR="007A6EB4" w:rsidRDefault="006F3363">
      <w:pPr>
        <w:spacing w:before="200" w:line="300" w:lineRule="atLeast"/>
        <w:jc w:val="both"/>
      </w:pPr>
      <w:r>
        <w:rPr>
          <w:rFonts w:ascii="Arial" w:eastAsia="Arial" w:hAnsi="Arial" w:cs="Arial"/>
          <w:color w:val="000000"/>
        </w:rPr>
        <w:t>§ 110.112(5), Fla. Stat. was redesignated as § 110.112(6), Fla. Stat., effective July 1, 2016.</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w:t>
      </w:r>
      <w:r>
        <w:rPr>
          <w:rFonts w:ascii="Arial" w:eastAsia="Arial" w:hAnsi="Arial" w:cs="Arial"/>
          <w:color w:val="000000"/>
        </w:rPr>
        <w:t>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18" style="position:absolute;left:0;text-align:left;z-index:25186611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11"/>
          <w:headerReference w:type="default" r:id="rId212"/>
          <w:footerReference w:type="even" r:id="rId213"/>
          <w:footerReference w:type="default" r:id="rId214"/>
          <w:headerReference w:type="first" r:id="rId215"/>
          <w:footerReference w:type="first" r:id="rId216"/>
          <w:pgSz w:w="12240" w:h="15840"/>
          <w:pgMar w:top="840" w:right="1000" w:bottom="840" w:left="1000" w:header="400" w:footer="400" w:gutter="0"/>
          <w:cols w:space="720"/>
          <w:titlePg/>
        </w:sectPr>
      </w:pPr>
    </w:p>
    <w:p w:rsidR="007A6EB4" w:rsidRDefault="007A6EB4">
      <w:bookmarkStart w:id="35" w:name="Bookmark_35"/>
      <w:bookmarkEnd w:id="35"/>
    </w:p>
    <w:p w:rsidR="007A6EB4" w:rsidRDefault="006F3363">
      <w:r>
        <w:pict>
          <v:shape id="_x0000_i1059"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34</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2. Public Employment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20" style="position:absolute;z-index:25169305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34 Age discrimination</w:t>
      </w:r>
    </w:p>
    <w:p w:rsidR="007A6EB4" w:rsidRDefault="006F3363">
      <w:pPr>
        <w:spacing w:line="60" w:lineRule="exact"/>
      </w:pPr>
      <w:r>
        <w:pict>
          <v:line id="_x0000_s1221" style="position:absolute;z-index:25173913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No officer or board, whether state or county, may discriminate in the employment of any person </w:t>
      </w:r>
      <w:r>
        <w:rPr>
          <w:rFonts w:ascii="Arial" w:eastAsia="Arial" w:hAnsi="Arial" w:cs="Arial"/>
          <w:color w:val="000000"/>
        </w:rPr>
        <w:t>solely on the basis of age. Persons who apply for employment with the State or any county of the State must be selected on the basis of training, experience, mental and physical abilities, and other selection criteria established for the position, and unle</w:t>
      </w:r>
      <w:r>
        <w:rPr>
          <w:rFonts w:ascii="Arial" w:eastAsia="Arial" w:hAnsi="Arial" w:cs="Arial"/>
          <w:color w:val="000000"/>
        </w:rPr>
        <w:t>ss age restrictions have been specifically established through published specifications for a position, available to the public, the employing authority must give equal consideration to all applicants regardless of age.</w:t>
      </w:r>
      <w:r>
        <w:rPr>
          <w:rFonts w:ascii="Arial" w:eastAsia="Arial" w:hAnsi="Arial" w:cs="Arial"/>
          <w:vertAlign w:val="superscript"/>
        </w:rPr>
        <w:footnoteReference w:customMarkFollows="1" w:id="291"/>
        <w:t>n1</w:t>
      </w:r>
      <w:r>
        <w:rPr>
          <w:rFonts w:ascii="Arial" w:eastAsia="Arial" w:hAnsi="Arial" w:cs="Arial"/>
          <w:color w:val="000000"/>
        </w:rPr>
        <w:t xml:space="preserve"> It is unlawful for the State or an</w:t>
      </w:r>
      <w:r>
        <w:rPr>
          <w:rFonts w:ascii="Arial" w:eastAsia="Arial" w:hAnsi="Arial" w:cs="Arial"/>
          <w:color w:val="000000"/>
        </w:rPr>
        <w:t>y county, municipality, special district, or any subdivision or agency thereof to:</w:t>
      </w:r>
      <w:r>
        <w:rPr>
          <w:rFonts w:ascii="Arial" w:eastAsia="Arial" w:hAnsi="Arial" w:cs="Arial"/>
          <w:vertAlign w:val="superscript"/>
        </w:rPr>
        <w:footnoteReference w:customMarkFollows="1" w:id="292"/>
        <w:t>n2</w:t>
      </w:r>
    </w:p>
    <w:p w:rsidR="007A6EB4" w:rsidRDefault="006F3363">
      <w:pPr>
        <w:spacing w:before="200" w:line="300" w:lineRule="atLeast"/>
        <w:jc w:val="both"/>
      </w:pPr>
      <w:r>
        <w:rPr>
          <w:rFonts w:ascii="Arial" w:eastAsia="Arial" w:hAnsi="Arial" w:cs="Arial"/>
          <w:color w:val="000000"/>
        </w:rPr>
        <w:t>(1)fail or refuse to hire, discharge, or mandatorily retire any individual, or otherwise discriminate against any individual with respect to the compensation, terms, condi</w:t>
      </w:r>
      <w:r>
        <w:rPr>
          <w:rFonts w:ascii="Arial" w:eastAsia="Arial" w:hAnsi="Arial" w:cs="Arial"/>
          <w:color w:val="000000"/>
        </w:rPr>
        <w:t>tions, or privileges of employment, because of age;</w:t>
      </w:r>
    </w:p>
    <w:p w:rsidR="007A6EB4" w:rsidRDefault="006F3363">
      <w:pPr>
        <w:spacing w:before="200" w:line="300" w:lineRule="atLeast"/>
        <w:jc w:val="both"/>
      </w:pPr>
      <w:r>
        <w:rPr>
          <w:rFonts w:ascii="Arial" w:eastAsia="Arial" w:hAnsi="Arial" w:cs="Arial"/>
          <w:color w:val="000000"/>
        </w:rPr>
        <w:t xml:space="preserve">(2)limit, segregate, or classify employees in any way that would deprive or tend to deprive an individual of employment opportunities, or otherwise adversely affect an individual's status as an employee, </w:t>
      </w:r>
      <w:r>
        <w:rPr>
          <w:rFonts w:ascii="Arial" w:eastAsia="Arial" w:hAnsi="Arial" w:cs="Arial"/>
          <w:color w:val="000000"/>
        </w:rPr>
        <w:t>because of age; or</w:t>
      </w:r>
    </w:p>
    <w:p w:rsidR="007A6EB4" w:rsidRDefault="006F3363">
      <w:pPr>
        <w:spacing w:before="200" w:line="300" w:lineRule="atLeast"/>
        <w:jc w:val="both"/>
      </w:pPr>
      <w:r>
        <w:rPr>
          <w:rFonts w:ascii="Arial" w:eastAsia="Arial" w:hAnsi="Arial" w:cs="Arial"/>
          <w:color w:val="000000"/>
        </w:rPr>
        <w:t>(3)reduce the wage rate of an employee or otherwise alter the terms or conditions of employment in order to comply with the law unless the reduction is with the employee's express or implied consent.</w:t>
      </w:r>
    </w:p>
    <w:p w:rsidR="007A6EB4" w:rsidRDefault="006F3363">
      <w:pPr>
        <w:spacing w:before="200" w:line="300" w:lineRule="atLeast"/>
        <w:jc w:val="both"/>
      </w:pPr>
      <w:r>
        <w:rPr>
          <w:rFonts w:ascii="Arial" w:eastAsia="Arial" w:hAnsi="Arial" w:cs="Arial"/>
          <w:color w:val="000000"/>
        </w:rPr>
        <w:t>Furthermore, it is unlawful for a lab</w:t>
      </w:r>
      <w:r>
        <w:rPr>
          <w:rFonts w:ascii="Arial" w:eastAsia="Arial" w:hAnsi="Arial" w:cs="Arial"/>
          <w:color w:val="000000"/>
        </w:rPr>
        <w:t>or organization to:</w:t>
      </w:r>
      <w:r>
        <w:rPr>
          <w:rFonts w:ascii="Arial" w:eastAsia="Arial" w:hAnsi="Arial" w:cs="Arial"/>
          <w:vertAlign w:val="superscript"/>
        </w:rPr>
        <w:footnoteReference w:customMarkFollows="1" w:id="293"/>
        <w:t>n3</w:t>
      </w:r>
    </w:p>
    <w:p w:rsidR="007A6EB4" w:rsidRDefault="006F3363">
      <w:pPr>
        <w:spacing w:before="200" w:line="300" w:lineRule="atLeast"/>
        <w:jc w:val="both"/>
      </w:pPr>
      <w:r>
        <w:rPr>
          <w:rFonts w:ascii="Arial" w:eastAsia="Arial" w:hAnsi="Arial" w:cs="Arial"/>
          <w:color w:val="000000"/>
        </w:rPr>
        <w:lastRenderedPageBreak/>
        <w:t>(1)exclude or expel from its membership, or otherwise discriminate against, any individual because of age;</w:t>
      </w:r>
    </w:p>
    <w:p w:rsidR="007A6EB4" w:rsidRDefault="006F3363">
      <w:pPr>
        <w:spacing w:before="200" w:line="300" w:lineRule="atLeast"/>
        <w:jc w:val="both"/>
      </w:pPr>
      <w:r>
        <w:rPr>
          <w:rFonts w:ascii="Arial" w:eastAsia="Arial" w:hAnsi="Arial" w:cs="Arial"/>
          <w:color w:val="000000"/>
        </w:rPr>
        <w:t>(2)limit, segregate, or classify its membership, or fail to refuse to refer for employment, an individual in any way that would</w:t>
      </w:r>
      <w:r>
        <w:rPr>
          <w:rFonts w:ascii="Arial" w:eastAsia="Arial" w:hAnsi="Arial" w:cs="Arial"/>
          <w:color w:val="000000"/>
        </w:rPr>
        <w:t xml:space="preserve"> limit, deprive, or tend to deprive the individual of employment opportunities or that would otherwise adversely affect the individual's status as an employee or as an applicant for employment solely because of age; or</w:t>
      </w:r>
    </w:p>
    <w:p w:rsidR="007A6EB4" w:rsidRDefault="006F3363">
      <w:pPr>
        <w:spacing w:before="200" w:line="300" w:lineRule="atLeast"/>
        <w:jc w:val="both"/>
      </w:pPr>
      <w:r>
        <w:rPr>
          <w:rFonts w:ascii="Arial" w:eastAsia="Arial" w:hAnsi="Arial" w:cs="Arial"/>
          <w:color w:val="000000"/>
        </w:rPr>
        <w:t xml:space="preserve">(3)cause or attempt to cause an </w:t>
      </w:r>
      <w:r>
        <w:rPr>
          <w:rFonts w:ascii="Arial" w:eastAsia="Arial" w:hAnsi="Arial" w:cs="Arial"/>
          <w:color w:val="000000"/>
        </w:rPr>
        <w:t>employer to discriminate against an individual in violation of the law.</w:t>
      </w:r>
    </w:p>
    <w:p w:rsidR="007A6EB4" w:rsidRDefault="006F3363">
      <w:pPr>
        <w:spacing w:before="200" w:line="300" w:lineRule="atLeast"/>
        <w:jc w:val="both"/>
      </w:pPr>
      <w:r>
        <w:rPr>
          <w:rFonts w:ascii="Arial" w:eastAsia="Arial" w:hAnsi="Arial" w:cs="Arial"/>
          <w:color w:val="000000"/>
        </w:rPr>
        <w:t>Age discrimination statutes protect only employment decisions that disadvantage an older worker in favor of a younger worker.</w:t>
      </w:r>
      <w:r>
        <w:rPr>
          <w:rFonts w:ascii="Arial" w:eastAsia="Arial" w:hAnsi="Arial" w:cs="Arial"/>
          <w:vertAlign w:val="superscript"/>
        </w:rPr>
        <w:footnoteReference w:customMarkFollows="1" w:id="294"/>
        <w:t>n4</w:t>
      </w:r>
      <w:r>
        <w:rPr>
          <w:rFonts w:ascii="Arial" w:eastAsia="Arial" w:hAnsi="Arial" w:cs="Arial"/>
          <w:color w:val="000000"/>
        </w:rPr>
        <w:t xml:space="preserve"> In age discrimination actions, a plaintiff must make a p</w:t>
      </w:r>
      <w:r>
        <w:rPr>
          <w:rFonts w:ascii="Arial" w:eastAsia="Arial" w:hAnsi="Arial" w:cs="Arial"/>
          <w:color w:val="000000"/>
        </w:rPr>
        <w:t xml:space="preserve">rima facie showing of discriminatory treatment and does that by proving that: (1) the plaintiff is a member of a protected class, i.e., at least 40 years of age; (2) he or she is otherwise qualified for the positions sought; (3) he or she was rejected for </w:t>
      </w:r>
      <w:r>
        <w:rPr>
          <w:rFonts w:ascii="Arial" w:eastAsia="Arial" w:hAnsi="Arial" w:cs="Arial"/>
          <w:color w:val="000000"/>
        </w:rPr>
        <w:t>the position; and (4) the position was filled by a worker who is substantially younger than the plaintiff.</w:t>
      </w:r>
      <w:r>
        <w:rPr>
          <w:rFonts w:ascii="Arial" w:eastAsia="Arial" w:hAnsi="Arial" w:cs="Arial"/>
          <w:vertAlign w:val="superscript"/>
        </w:rPr>
        <w:footnoteReference w:customMarkFollows="1" w:id="295"/>
        <w:t>n5</w:t>
      </w:r>
      <w:r>
        <w:rPr>
          <w:rFonts w:ascii="Arial" w:eastAsia="Arial" w:hAnsi="Arial" w:cs="Arial"/>
          <w:color w:val="000000"/>
        </w:rPr>
        <w:t xml:space="preserve"> To prove a prima facie case of age discrimination, the plaintiff must prove that a younger person was hired or promoted in lieu of the older worker</w:t>
      </w:r>
      <w:r>
        <w:rPr>
          <w:rFonts w:ascii="Arial" w:eastAsia="Arial" w:hAnsi="Arial" w:cs="Arial"/>
          <w:color w:val="000000"/>
        </w:rPr>
        <w:t>.</w:t>
      </w:r>
      <w:r>
        <w:rPr>
          <w:rFonts w:ascii="Arial" w:eastAsia="Arial" w:hAnsi="Arial" w:cs="Arial"/>
          <w:vertAlign w:val="superscript"/>
        </w:rPr>
        <w:footnoteReference w:customMarkFollows="1" w:id="296"/>
        <w:t>n6</w:t>
      </w:r>
    </w:p>
    <w:p w:rsidR="007A6EB4" w:rsidRDefault="006F3363">
      <w:pPr>
        <w:spacing w:before="200" w:line="300" w:lineRule="atLeast"/>
        <w:jc w:val="both"/>
      </w:pPr>
      <w:r>
        <w:rPr>
          <w:rFonts w:ascii="Arial" w:eastAsia="Arial" w:hAnsi="Arial" w:cs="Arial"/>
          <w:color w:val="000000"/>
        </w:rPr>
        <w:t>Illustration: A county employee established a prima facie case of age discrimination where he was 69 years old, he was qualified for the position sought, he was rejected for the position, and the position was filled by a substantially younger worker.</w:t>
      </w:r>
      <w:r>
        <w:rPr>
          <w:rFonts w:ascii="Arial" w:eastAsia="Arial" w:hAnsi="Arial" w:cs="Arial"/>
          <w:vertAlign w:val="superscript"/>
        </w:rPr>
        <w:footnoteReference w:customMarkFollows="1" w:id="297"/>
        <w:t>n7</w:t>
      </w:r>
    </w:p>
    <w:p w:rsidR="007A6EB4" w:rsidRDefault="006F3363">
      <w:pPr>
        <w:spacing w:before="200" w:line="300" w:lineRule="atLeast"/>
        <w:jc w:val="both"/>
      </w:pPr>
      <w:r>
        <w:rPr>
          <w:rFonts w:ascii="Arial" w:eastAsia="Arial" w:hAnsi="Arial" w:cs="Arial"/>
          <w:color w:val="000000"/>
        </w:rPr>
        <w:t>Similarly, it is unlawful for an employment agency to fail or refuse to refer for employment, or otherwise to discriminate against, any individual because of age or to classify or refer for employment any individual on the basis of age.</w:t>
      </w:r>
      <w:r>
        <w:rPr>
          <w:rFonts w:ascii="Arial" w:eastAsia="Arial" w:hAnsi="Arial" w:cs="Arial"/>
          <w:vertAlign w:val="superscript"/>
        </w:rPr>
        <w:footnoteReference w:customMarkFollows="1" w:id="298"/>
        <w:t>n8</w:t>
      </w:r>
    </w:p>
    <w:p w:rsidR="007A6EB4" w:rsidRDefault="006F3363">
      <w:pPr>
        <w:spacing w:before="200" w:line="300" w:lineRule="atLeast"/>
        <w:jc w:val="both"/>
      </w:pPr>
      <w:r>
        <w:rPr>
          <w:rFonts w:ascii="Arial" w:eastAsia="Arial" w:hAnsi="Arial" w:cs="Arial"/>
          <w:color w:val="000000"/>
        </w:rPr>
        <w:t>Definition: An "</w:t>
      </w:r>
      <w:r>
        <w:rPr>
          <w:rFonts w:ascii="Arial" w:eastAsia="Arial" w:hAnsi="Arial" w:cs="Arial"/>
          <w:color w:val="000000"/>
        </w:rPr>
        <w:t>employment agency," for such purposes, is any person, including any agent thereof, regularly undertaking, with or without compensation, to procure employees for an employer, including state and local employment services receiving federal assistance.</w:t>
      </w:r>
      <w:r>
        <w:rPr>
          <w:rFonts w:ascii="Arial" w:eastAsia="Arial" w:hAnsi="Arial" w:cs="Arial"/>
          <w:vertAlign w:val="superscript"/>
        </w:rPr>
        <w:footnoteReference w:customMarkFollows="1" w:id="299"/>
        <w:t>n9</w:t>
      </w:r>
    </w:p>
    <w:p w:rsidR="007A6EB4" w:rsidRDefault="006F3363">
      <w:pPr>
        <w:spacing w:before="200" w:line="300" w:lineRule="atLeast"/>
        <w:jc w:val="both"/>
      </w:pPr>
      <w:r>
        <w:rPr>
          <w:rFonts w:ascii="Arial" w:eastAsia="Arial" w:hAnsi="Arial" w:cs="Arial"/>
          <w:color w:val="000000"/>
        </w:rPr>
        <w:t xml:space="preserve">All </w:t>
      </w:r>
      <w:r>
        <w:rPr>
          <w:rFonts w:ascii="Arial" w:eastAsia="Arial" w:hAnsi="Arial" w:cs="Arial"/>
          <w:color w:val="000000"/>
        </w:rPr>
        <w:t>of the prohibited activities discussed above are subject to the exception that it is not unlawful to: (1) take any action otherwise prohibited by law based on a bona fide occupational qualification reasonably necessary to do the normal operation of the par</w:t>
      </w:r>
      <w:r>
        <w:rPr>
          <w:rFonts w:ascii="Arial" w:eastAsia="Arial" w:hAnsi="Arial" w:cs="Arial"/>
          <w:color w:val="000000"/>
        </w:rPr>
        <w:t>ticular business; (2) observe the terms of a bona fide seniority system or any bona fide employee benefit plan such as a retirement, pension, or insurance plan that is not a subterfuge to evade the purposes of the law; or (3) discharge or otherwise discipl</w:t>
      </w:r>
      <w:r>
        <w:rPr>
          <w:rFonts w:ascii="Arial" w:eastAsia="Arial" w:hAnsi="Arial" w:cs="Arial"/>
          <w:color w:val="000000"/>
        </w:rPr>
        <w:t>ine an individual for good cause.</w:t>
      </w:r>
      <w:r>
        <w:rPr>
          <w:rFonts w:ascii="Arial" w:eastAsia="Arial" w:hAnsi="Arial" w:cs="Arial"/>
          <w:vertAlign w:val="superscript"/>
        </w:rPr>
        <w:footnoteReference w:customMarkFollows="1" w:id="300"/>
        <w:t>n10</w:t>
      </w:r>
    </w:p>
    <w:p w:rsidR="007A6EB4" w:rsidRDefault="006F3363">
      <w:pPr>
        <w:spacing w:before="200" w:line="300" w:lineRule="atLeast"/>
        <w:jc w:val="both"/>
      </w:pPr>
      <w:r>
        <w:rPr>
          <w:rFonts w:ascii="Arial" w:eastAsia="Arial" w:hAnsi="Arial" w:cs="Arial"/>
          <w:color w:val="000000"/>
        </w:rPr>
        <w:lastRenderedPageBreak/>
        <w:t>A state employee within the career service system may appeal an alleged violation to the Public Employees Relations Commission, and any other person or any employee of the Public Employees Relations Commission may bring</w:t>
      </w:r>
      <w:r>
        <w:rPr>
          <w:rFonts w:ascii="Arial" w:eastAsia="Arial" w:hAnsi="Arial" w:cs="Arial"/>
          <w:color w:val="000000"/>
        </w:rPr>
        <w:t xml:space="preserve"> a civil action alleging a violation in any court of competent jurisdiction.</w:t>
      </w:r>
      <w:r>
        <w:rPr>
          <w:rFonts w:ascii="Arial" w:eastAsia="Arial" w:hAnsi="Arial" w:cs="Arial"/>
          <w:vertAlign w:val="superscript"/>
        </w:rPr>
        <w:footnoteReference w:customMarkFollows="1" w:id="301"/>
        <w:t>n11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22" style="position:absolute;z-index:25178521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w:t>
      </w:r>
      <w:r>
        <w:rPr>
          <w:rFonts w:ascii="Arial" w:eastAsia="Arial" w:hAnsi="Arial" w:cs="Arial"/>
          <w:color w:val="000000"/>
        </w:rPr>
        <w:t>,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w:t>
      </w:r>
      <w:r>
        <w:rPr>
          <w:rFonts w:ascii="Arial" w:eastAsia="Arial" w:hAnsi="Arial" w:cs="Arial"/>
          <w:color w:val="000000"/>
        </w:rPr>
        <w:t>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Rights [westkey]100</w:t>
      </w:r>
      <w:r>
        <w:rPr>
          <w:rFonts w:ascii="Arial" w:eastAsia="Arial" w:hAnsi="Arial" w:cs="Arial"/>
          <w:color w:val="000000"/>
        </w:rPr>
        <w:t>9 to 1016, 1019(3), 1019(5), 1024, 1104, 1107, 1111, 1113 to 1116, 1136 to 1138, 1140, 1141, 1164 to 1190, 1196, 1206, 1207, 1216 to 1218, 1225(1) to 1225(3), 1242 to 1245, 1261, 1262, 1536, 1544, 1545, 1553, 1703, 1704, 1710, 1720, 1727 to 1729, 1736, 174</w:t>
      </w:r>
      <w:r>
        <w:rPr>
          <w:rFonts w:ascii="Arial" w:eastAsia="Arial" w:hAnsi="Arial" w:cs="Arial"/>
          <w:color w:val="000000"/>
        </w:rPr>
        <w:t>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 xml:space="preserve">West's A.L.R. Digest, States </w:t>
      </w:r>
      <w:r>
        <w:rPr>
          <w:rFonts w:ascii="Arial" w:eastAsia="Arial" w:hAnsi="Arial" w:cs="Arial"/>
          <w:color w:val="000000"/>
        </w:rPr>
        <w:t>[westkey]18.49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lastRenderedPageBreak/>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111 Am. Jur.</w:t>
      </w:r>
      <w:r>
        <w:rPr>
          <w:rFonts w:ascii="Arial" w:eastAsia="Arial" w:hAnsi="Arial" w:cs="Arial"/>
          <w:color w:val="000000"/>
        </w:rPr>
        <w:t xml:space="preserve">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 3d 1</w:t>
      </w:r>
    </w:p>
    <w:p w:rsidR="007A6EB4" w:rsidRDefault="006F3363">
      <w:pPr>
        <w:spacing w:before="120" w:line="300" w:lineRule="atLeast"/>
      </w:pPr>
      <w:r>
        <w:rPr>
          <w:rFonts w:ascii="Arial" w:eastAsia="Arial" w:hAnsi="Arial" w:cs="Arial"/>
          <w:color w:val="000000"/>
        </w:rPr>
        <w:t>Proof of</w:t>
      </w:r>
      <w:r>
        <w:rPr>
          <w:rFonts w:ascii="Arial" w:eastAsia="Arial" w:hAnsi="Arial" w:cs="Arial"/>
          <w:color w:val="000000"/>
        </w:rPr>
        <w:t xml:space="preserve">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Am. Jur. Pr</w:t>
      </w:r>
      <w:r>
        <w:rPr>
          <w:rFonts w:ascii="Arial" w:eastAsia="Arial" w:hAnsi="Arial" w:cs="Arial"/>
          <w:color w:val="000000"/>
        </w:rPr>
        <w:t>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Proof of Discriminatory Termination of HIV-Positiv</w:t>
      </w:r>
      <w:r>
        <w:rPr>
          <w:rFonts w:ascii="Arial" w:eastAsia="Arial" w:hAnsi="Arial" w:cs="Arial"/>
          <w:color w:val="000000"/>
        </w:rPr>
        <w:t>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Employment Discrimination Claims Based on Mental Illness or Impairment Under the Americans With D</w:t>
      </w:r>
      <w:r>
        <w:rPr>
          <w:rFonts w:ascii="Arial" w:eastAsia="Arial" w:hAnsi="Arial" w:cs="Arial"/>
          <w:color w:val="000000"/>
        </w:rPr>
        <w:t>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 xml:space="preserve">Efficiently and Effectively Defending Employment Discrimination Cases, 63 Am. Jur. </w:t>
      </w:r>
      <w:r>
        <w:rPr>
          <w:rFonts w:ascii="Arial" w:eastAsia="Arial" w:hAnsi="Arial" w:cs="Arial"/>
          <w:color w:val="000000"/>
        </w:rPr>
        <w:t>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Jur. Pleading and Practice Forms, Constitutiona</w:t>
      </w:r>
      <w:r>
        <w:rPr>
          <w:rFonts w:ascii="Arial" w:eastAsia="Arial" w:hAnsi="Arial" w:cs="Arial"/>
          <w:color w:val="000000"/>
        </w:rPr>
        <w:t>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Civil Rights [westkey]1014, 1207,</w:t>
      </w:r>
      <w:r>
        <w:rPr>
          <w:rFonts w:ascii="Arial" w:eastAsia="Arial" w:hAnsi="Arial" w:cs="Arial"/>
          <w:color w:val="000000"/>
        </w:rPr>
        <w:t xml:space="preserve"> 1736</w:t>
      </w:r>
    </w:p>
    <w:p w:rsidR="007A6EB4" w:rsidRDefault="006F3363">
      <w:pPr>
        <w:spacing w:before="120" w:line="300" w:lineRule="atLeast"/>
      </w:pPr>
      <w:r>
        <w:rPr>
          <w:rFonts w:ascii="Arial" w:eastAsia="Arial" w:hAnsi="Arial" w:cs="Arial"/>
          <w:color w:val="000000"/>
        </w:rPr>
        <w:t>Liability of Employer, Supervisor, or Manager for Intentionally or Recklessly Causing Employee Emotional Distress -- Age Discrimination, 11 A.L.R.6th 447</w:t>
      </w:r>
    </w:p>
    <w:p w:rsidR="007A6EB4" w:rsidRDefault="006F3363">
      <w:pPr>
        <w:spacing w:before="120" w:line="300" w:lineRule="atLeast"/>
      </w:pPr>
      <w:r>
        <w:rPr>
          <w:rFonts w:ascii="Arial" w:eastAsia="Arial" w:hAnsi="Arial" w:cs="Arial"/>
          <w:color w:val="000000"/>
        </w:rPr>
        <w:t>Application of state law to age discrimination in employment, 51 A.L.R.5th 1</w:t>
      </w:r>
    </w:p>
    <w:p w:rsidR="007A6EB4" w:rsidRDefault="006F3363">
      <w:pPr>
        <w:spacing w:before="120" w:line="300" w:lineRule="atLeast"/>
      </w:pPr>
      <w:r>
        <w:rPr>
          <w:rFonts w:ascii="Arial" w:eastAsia="Arial" w:hAnsi="Arial" w:cs="Arial"/>
          <w:color w:val="000000"/>
        </w:rPr>
        <w:t xml:space="preserve">Award of </w:t>
      </w:r>
      <w:r>
        <w:rPr>
          <w:rFonts w:ascii="Arial" w:eastAsia="Arial" w:hAnsi="Arial" w:cs="Arial"/>
          <w:color w:val="000000"/>
        </w:rPr>
        <w:t>Liquidated Damages Under sec. 7 of Age Discrimination in Employment Act (29 U.S.C.A. sec. 626(b)) for "Willful" Violations of Act, 5 A.L.R. Fed. 2d 243</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lastRenderedPageBreak/>
        <w:t>Flo</w:t>
      </w:r>
      <w:r>
        <w:rPr>
          <w:rFonts w:ascii="Arial" w:eastAsia="Arial" w:hAnsi="Arial" w:cs="Arial"/>
          <w:color w:val="000000"/>
        </w:rPr>
        <w:t>rida Jur. Forms Legal and Business § 20:162 (Release of ADEA and other claims in exchange for additional severance benefits -- Settlement of pending discrimination charges)</w:t>
      </w:r>
    </w:p>
    <w:p w:rsidR="007A6EB4" w:rsidRDefault="006F3363">
      <w:pPr>
        <w:spacing w:before="120" w:line="300" w:lineRule="atLeast"/>
      </w:pPr>
      <w:r>
        <w:rPr>
          <w:rFonts w:ascii="Arial" w:eastAsia="Arial" w:hAnsi="Arial" w:cs="Arial"/>
          <w:color w:val="000000"/>
        </w:rPr>
        <w:t xml:space="preserve">Florida Jur. Forms Legal and Business § 26:21 (Compromise and settlement agreement </w:t>
      </w:r>
      <w:r>
        <w:rPr>
          <w:rFonts w:ascii="Arial" w:eastAsia="Arial" w:hAnsi="Arial" w:cs="Arial"/>
          <w:color w:val="000000"/>
        </w:rPr>
        <w:t>-- Age-discrimination claim)</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23" style="position:absolute;left:0;text-align:left;z-index:25183129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17"/>
          <w:headerReference w:type="default" r:id="rId218"/>
          <w:footerReference w:type="even" r:id="rId219"/>
          <w:footerReference w:type="default" r:id="rId220"/>
          <w:headerReference w:type="first" r:id="rId221"/>
          <w:footerReference w:type="first" r:id="rId222"/>
          <w:pgSz w:w="12240" w:h="15840"/>
          <w:pgMar w:top="840" w:right="1000" w:bottom="840" w:left="1000" w:header="400" w:footer="400" w:gutter="0"/>
          <w:cols w:space="720"/>
          <w:titlePg/>
        </w:sectPr>
      </w:pPr>
    </w:p>
    <w:p w:rsidR="007A6EB4" w:rsidRDefault="007A6EB4">
      <w:bookmarkStart w:id="36" w:name="Bookmark_36"/>
      <w:bookmarkEnd w:id="36"/>
    </w:p>
    <w:p w:rsidR="007A6EB4" w:rsidRDefault="006F3363">
      <w:r>
        <w:pict>
          <v:shape id="_x0000_i1060"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35</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2. Public Employment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25" style="position:absolute;z-index:25169408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35 Employment rights of physically disabled persons</w:t>
      </w:r>
    </w:p>
    <w:p w:rsidR="007A6EB4" w:rsidRDefault="006F3363">
      <w:pPr>
        <w:spacing w:line="60" w:lineRule="exact"/>
      </w:pPr>
      <w:r>
        <w:pict>
          <v:line id="_x0000_s1226" style="position:absolute;z-index:25174016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state policy that an </w:t>
      </w:r>
      <w:r>
        <w:rPr>
          <w:rFonts w:ascii="Arial" w:eastAsia="Arial" w:hAnsi="Arial" w:cs="Arial"/>
          <w:color w:val="000000"/>
        </w:rPr>
        <w:t>individual with a disability be employed in the service of the State or political subdivisions of the State, in the public schools, and in all other employment supported in whole or in part by public funds, and an employer may not refuse employment to such</w:t>
      </w:r>
      <w:r>
        <w:rPr>
          <w:rFonts w:ascii="Arial" w:eastAsia="Arial" w:hAnsi="Arial" w:cs="Arial"/>
          <w:color w:val="000000"/>
        </w:rPr>
        <w:t xml:space="preserve"> a person on the basis of the disability alone unless it is shown that the particular disability prevents the satisfactory performance of the work involved.</w:t>
      </w:r>
      <w:r>
        <w:rPr>
          <w:rFonts w:ascii="Arial" w:eastAsia="Arial" w:hAnsi="Arial" w:cs="Arial"/>
          <w:vertAlign w:val="superscript"/>
        </w:rPr>
        <w:footnoteReference w:customMarkFollows="1" w:id="302"/>
        <w:t>n1</w:t>
      </w:r>
      <w:r>
        <w:rPr>
          <w:rFonts w:ascii="Arial" w:eastAsia="Arial" w:hAnsi="Arial" w:cs="Arial"/>
          <w:color w:val="000000"/>
        </w:rPr>
        <w:t xml:space="preserve"> Enforcement may be effected by a private right of action.</w:t>
      </w:r>
      <w:r>
        <w:rPr>
          <w:rFonts w:ascii="Arial" w:eastAsia="Arial" w:hAnsi="Arial" w:cs="Arial"/>
          <w:vertAlign w:val="superscript"/>
        </w:rPr>
        <w:footnoteReference w:customMarkFollows="1" w:id="303"/>
        <w:t>n2</w:t>
      </w:r>
    </w:p>
    <w:p w:rsidR="007A6EB4" w:rsidRDefault="006F3363">
      <w:pPr>
        <w:spacing w:before="200" w:line="300" w:lineRule="atLeast"/>
        <w:jc w:val="both"/>
      </w:pPr>
      <w:r>
        <w:rPr>
          <w:rFonts w:ascii="Arial" w:eastAsia="Arial" w:hAnsi="Arial" w:cs="Arial"/>
          <w:color w:val="000000"/>
        </w:rPr>
        <w:t>Any discrimination by the specified p</w:t>
      </w:r>
      <w:r>
        <w:rPr>
          <w:rFonts w:ascii="Arial" w:eastAsia="Arial" w:hAnsi="Arial" w:cs="Arial"/>
          <w:color w:val="000000"/>
        </w:rPr>
        <w:t>ublic employers against such persons constitutes a second-degree misdemeanor.</w:t>
      </w:r>
      <w:r>
        <w:rPr>
          <w:rFonts w:ascii="Arial" w:eastAsia="Arial" w:hAnsi="Arial" w:cs="Arial"/>
          <w:vertAlign w:val="superscript"/>
        </w:rPr>
        <w:footnoteReference w:customMarkFollows="1" w:id="304"/>
        <w:t>n3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27" style="position:absolute;z-index:25178624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1190, 1196</w:t>
      </w:r>
      <w:r>
        <w:rPr>
          <w:rFonts w:ascii="Arial" w:eastAsia="Arial" w:hAnsi="Arial" w:cs="Arial"/>
          <w:color w:val="000000"/>
        </w:rPr>
        <w:t>,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and Employ</w:t>
      </w:r>
      <w:r>
        <w:rPr>
          <w:rFonts w:ascii="Arial" w:eastAsia="Arial" w:hAnsi="Arial" w:cs="Arial"/>
          <w:color w:val="000000"/>
        </w:rPr>
        <w:t>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lastRenderedPageBreak/>
        <w:t>A.L.R. Index, Age Discrimination</w:t>
      </w:r>
    </w:p>
    <w:p w:rsidR="007A6EB4" w:rsidRDefault="006F3363">
      <w:pPr>
        <w:spacing w:before="120" w:line="300" w:lineRule="atLeast"/>
      </w:pPr>
      <w:r>
        <w:rPr>
          <w:rFonts w:ascii="Arial" w:eastAsia="Arial" w:hAnsi="Arial" w:cs="Arial"/>
          <w:color w:val="000000"/>
        </w:rPr>
        <w:t xml:space="preserve">A.L.R. Index, Civil Rights and </w:t>
      </w:r>
      <w:r>
        <w:rPr>
          <w:rFonts w:ascii="Arial" w:eastAsia="Arial" w:hAnsi="Arial" w:cs="Arial"/>
          <w:color w:val="000000"/>
        </w:rPr>
        <w:t>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 xml:space="preserve">West's A.L.R. Digest, Civil </w:t>
      </w:r>
      <w:r>
        <w:rPr>
          <w:rFonts w:ascii="Arial" w:eastAsia="Arial" w:hAnsi="Arial" w:cs="Arial"/>
          <w:color w:val="000000"/>
        </w:rPr>
        <w:t>Rights [westkey]1009 to 1016, 1019(3), 1019(5), 1024, 1104, 1107, 1111, 1113 to 1116, 1136 to 1138, 1140, 1141, 1164 to 1190, 1196, 1206, 1207, 1216 to 1218, 1225(1) to 1225(3), 1242 to 1245, 1261, 1262, 1536, 1544, 1545, 1553, 1703, 1704, 1710, 1720, 1727</w:t>
      </w:r>
      <w:r>
        <w:rPr>
          <w:rFonts w:ascii="Arial" w:eastAsia="Arial" w:hAnsi="Arial" w:cs="Arial"/>
          <w:color w:val="000000"/>
        </w:rPr>
        <w:t xml:space="preserve"> to 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w:t>
      </w:r>
      <w:r>
        <w:rPr>
          <w:rFonts w:ascii="Arial" w:eastAsia="Arial" w:hAnsi="Arial" w:cs="Arial"/>
          <w:color w:val="000000"/>
        </w:rPr>
        <w:t>igest,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w:t>
      </w:r>
      <w:r>
        <w:rPr>
          <w:rFonts w:ascii="Arial" w:eastAsia="Arial" w:hAnsi="Arial" w:cs="Arial"/>
          <w:color w:val="000000"/>
        </w:rPr>
        <w:t>, 111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Proof of Employer Liability for Sexual Harassment Claims Under Title VII of the Civil Rights Act of 1964, 52 Am. Jur. Proof of Facts</w:t>
      </w:r>
      <w:r>
        <w:rPr>
          <w:rFonts w:ascii="Arial" w:eastAsia="Arial" w:hAnsi="Arial" w:cs="Arial"/>
          <w:color w:val="000000"/>
        </w:rPr>
        <w:t xml:space="preserve"> 3d 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 xml:space="preserve">Employment Discrimination on the Basis of Mental Disability Under the Americans with Disabilities Act, </w:t>
      </w:r>
      <w:r>
        <w:rPr>
          <w:rFonts w:ascii="Arial" w:eastAsia="Arial" w:hAnsi="Arial" w:cs="Arial"/>
          <w:color w:val="000000"/>
        </w:rPr>
        <w:t>48 Am.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Discriminatory Termination </w:t>
      </w:r>
      <w:r>
        <w:rPr>
          <w:rFonts w:ascii="Arial" w:eastAsia="Arial" w:hAnsi="Arial" w:cs="Arial"/>
          <w:color w:val="000000"/>
        </w:rPr>
        <w:t>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lastRenderedPageBreak/>
        <w:t>Employment Discrimination Claims Based on Mental Illness or Impairment Under the Am</w:t>
      </w:r>
      <w:r>
        <w:rPr>
          <w:rFonts w:ascii="Arial" w:eastAsia="Arial" w:hAnsi="Arial" w:cs="Arial"/>
          <w:color w:val="000000"/>
        </w:rPr>
        <w:t>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Efficiently and Effectively Defending Employment Discrimination Cases</w:t>
      </w:r>
      <w:r>
        <w:rPr>
          <w:rFonts w:ascii="Arial" w:eastAsia="Arial" w:hAnsi="Arial" w:cs="Arial"/>
          <w:color w:val="000000"/>
        </w:rPr>
        <w:t>, 63 Am. Jur. Trials 127</w:t>
      </w:r>
    </w:p>
    <w:p w:rsidR="007A6EB4" w:rsidRDefault="006F3363">
      <w:pPr>
        <w:spacing w:before="120" w:line="300" w:lineRule="atLeast"/>
      </w:pPr>
      <w:r>
        <w:rPr>
          <w:rFonts w:ascii="Arial" w:eastAsia="Arial" w:hAnsi="Arial" w:cs="Arial"/>
          <w:color w:val="000000"/>
        </w:rPr>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 xml:space="preserve">Am. Jur. Pleading and </w:t>
      </w:r>
      <w:r>
        <w:rPr>
          <w:rFonts w:ascii="Arial" w:eastAsia="Arial" w:hAnsi="Arial" w:cs="Arial"/>
          <w:color w:val="000000"/>
        </w:rPr>
        <w:t>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Number Digest, Civi</w:t>
      </w:r>
      <w:r>
        <w:rPr>
          <w:rFonts w:ascii="Arial" w:eastAsia="Arial" w:hAnsi="Arial" w:cs="Arial"/>
          <w:color w:val="000000"/>
        </w:rPr>
        <w:t>l Rights [westkey]1016, 1216 to 1218, 1736, 1808</w:t>
      </w:r>
    </w:p>
    <w:p w:rsidR="007A6EB4" w:rsidRDefault="006F3363">
      <w:pPr>
        <w:spacing w:before="120" w:line="300" w:lineRule="atLeast"/>
      </w:pPr>
      <w:r>
        <w:rPr>
          <w:rFonts w:ascii="Arial" w:eastAsia="Arial" w:hAnsi="Arial" w:cs="Arial"/>
          <w:color w:val="000000"/>
        </w:rPr>
        <w:t>Availability and scope of punitive damages under state employment discrimination law, 81 A.L.R.5th 367</w:t>
      </w:r>
    </w:p>
    <w:p w:rsidR="007A6EB4" w:rsidRDefault="006F3363">
      <w:pPr>
        <w:spacing w:before="120" w:line="300" w:lineRule="atLeast"/>
      </w:pPr>
      <w:r>
        <w:rPr>
          <w:rFonts w:ascii="Arial" w:eastAsia="Arial" w:hAnsi="Arial" w:cs="Arial"/>
          <w:color w:val="000000"/>
        </w:rPr>
        <w:t>Visual impairment as handicap or disability under state employment discrimination law, 77 A.L.R.5th 595</w:t>
      </w:r>
    </w:p>
    <w:p w:rsidR="007A6EB4" w:rsidRDefault="006F3363">
      <w:pPr>
        <w:spacing w:before="120" w:line="300" w:lineRule="atLeast"/>
      </w:pPr>
      <w:r>
        <w:rPr>
          <w:rFonts w:ascii="Arial" w:eastAsia="Arial" w:hAnsi="Arial" w:cs="Arial"/>
          <w:color w:val="000000"/>
        </w:rPr>
        <w:t>Discrimination "because of handicap"or "on the basis of handicap"under state statutes prohibiting job discrimination on account of handicap, 81 A.L.R.4th 144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28" style="position:absolute;left:0;text-align:left;z-index:251832320;mso-position-horizontal-relative:text;mso-position-vertical-relative:text" from="0,10pt" to="512pt,10pt" strokeweight="1pt"/>
        </w:pict>
      </w:r>
      <w:r>
        <w:rPr>
          <w:b/>
          <w:color w:val="767676"/>
          <w:sz w:val="16"/>
        </w:rPr>
        <w:t xml:space="preserve">End </w:t>
      </w:r>
      <w:r>
        <w:rPr>
          <w:b/>
          <w:color w:val="767676"/>
          <w:sz w:val="16"/>
        </w:rPr>
        <w:t>of Document</w:t>
      </w:r>
    </w:p>
    <w:p w:rsidR="007A6EB4" w:rsidRDefault="007A6EB4">
      <w:pPr>
        <w:sectPr w:rsidR="007A6EB4">
          <w:headerReference w:type="even" r:id="rId223"/>
          <w:headerReference w:type="default" r:id="rId224"/>
          <w:footerReference w:type="even" r:id="rId225"/>
          <w:footerReference w:type="default" r:id="rId226"/>
          <w:headerReference w:type="first" r:id="rId227"/>
          <w:footerReference w:type="first" r:id="rId228"/>
          <w:pgSz w:w="12240" w:h="15840"/>
          <w:pgMar w:top="840" w:right="1000" w:bottom="840" w:left="1000" w:header="400" w:footer="400" w:gutter="0"/>
          <w:cols w:space="720"/>
          <w:titlePg/>
        </w:sectPr>
      </w:pPr>
    </w:p>
    <w:p w:rsidR="007A6EB4" w:rsidRDefault="007A6EB4">
      <w:bookmarkStart w:id="37" w:name="Bookmark_37"/>
      <w:bookmarkEnd w:id="37"/>
    </w:p>
    <w:p w:rsidR="007A6EB4" w:rsidRDefault="006F3363">
      <w:r>
        <w:pict>
          <v:shape id="_x0000_i1061"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36</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B. Discrimination in Employment</w:t>
      </w:r>
      <w:r>
        <w:rPr>
          <w:rFonts w:ascii="Arial" w:eastAsia="Arial" w:hAnsi="Arial" w:cs="Arial"/>
          <w:b/>
          <w:color w:val="000000"/>
          <w:sz w:val="22"/>
        </w:rPr>
        <w:t xml:space="preserve">  &gt;  </w:t>
      </w:r>
      <w:r>
        <w:rPr>
          <w:rFonts w:ascii="Arial" w:eastAsia="Arial" w:hAnsi="Arial" w:cs="Arial"/>
          <w:b/>
          <w:i/>
          <w:color w:val="000000"/>
          <w:sz w:val="22"/>
        </w:rPr>
        <w:t xml:space="preserve">2. Public </w:t>
      </w:r>
      <w:r>
        <w:rPr>
          <w:rFonts w:ascii="Arial" w:eastAsia="Arial" w:hAnsi="Arial" w:cs="Arial"/>
          <w:b/>
          <w:i/>
          <w:color w:val="000000"/>
          <w:sz w:val="22"/>
        </w:rPr>
        <w:t>Employment</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30" style="position:absolute;z-index:25169510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36 Acceptance of members by public employee organizations</w:t>
      </w:r>
    </w:p>
    <w:p w:rsidR="007A6EB4" w:rsidRDefault="006F3363">
      <w:pPr>
        <w:spacing w:line="60" w:lineRule="exact"/>
      </w:pPr>
      <w:r>
        <w:pict>
          <v:line id="_x0000_s1231" style="position:absolute;z-index:25174118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An organization representing public employees, prior to requesting recognition by a public employer for purposes of collective </w:t>
      </w:r>
      <w:r>
        <w:rPr>
          <w:rFonts w:ascii="Arial" w:eastAsia="Arial" w:hAnsi="Arial" w:cs="Arial"/>
          <w:color w:val="000000"/>
        </w:rPr>
        <w:t>bargaining and prior to submitting a petition to the Public Employees Relations Commission for purposes of requesting certification as an exclusive bargaining agent, must submit a report including, among other things, a pledge that the employee organizatio</w:t>
      </w:r>
      <w:r>
        <w:rPr>
          <w:rFonts w:ascii="Arial" w:eastAsia="Arial" w:hAnsi="Arial" w:cs="Arial"/>
          <w:color w:val="000000"/>
        </w:rPr>
        <w:t>n will accept members without regard to age, race, sex, religion, or national origin.</w:t>
      </w:r>
      <w:r>
        <w:rPr>
          <w:rFonts w:ascii="Arial" w:eastAsia="Arial" w:hAnsi="Arial" w:cs="Arial"/>
          <w:vertAlign w:val="superscript"/>
        </w:rPr>
        <w:footnoteReference w:customMarkFollows="1" w:id="305"/>
        <w:t>n1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32" style="position:absolute;z-index:25178726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[westkey]1009 to 1016, 1019(3), 1019(5), 1024, 1104, 1107, 1111, 1113 to 1116, 1136 to 1138, 1140, 1141, 1164 to 11</w:t>
      </w:r>
      <w:r>
        <w:rPr>
          <w:rFonts w:ascii="Arial" w:eastAsia="Arial" w:hAnsi="Arial" w:cs="Arial"/>
          <w:color w:val="000000"/>
        </w:rPr>
        <w:t>90, 1196, 1206, 1207, 1216 to 1218, 1225(1) to 1225(3), 1242 to 1245, 1261, 1262, 1536, 1544, 1545, 1553, 1703, 1704, 1710, 1720, 1727 to 1729, 1736, 1740, 1744, 1808</w:t>
      </w:r>
    </w:p>
    <w:p w:rsidR="007A6EB4" w:rsidRDefault="006F3363">
      <w:pPr>
        <w:spacing w:before="120" w:line="300" w:lineRule="atLeast"/>
      </w:pPr>
      <w:r>
        <w:rPr>
          <w:rFonts w:ascii="Arial" w:eastAsia="Arial" w:hAnsi="Arial" w:cs="Arial"/>
          <w:color w:val="000000"/>
        </w:rPr>
        <w:t>West's Key Number Digest, Courts [westkey]97(1), 97(5)</w:t>
      </w:r>
    </w:p>
    <w:p w:rsidR="007A6EB4" w:rsidRDefault="006F3363">
      <w:pPr>
        <w:spacing w:before="120" w:line="300" w:lineRule="atLeast"/>
      </w:pPr>
      <w:r>
        <w:rPr>
          <w:rFonts w:ascii="Arial" w:eastAsia="Arial" w:hAnsi="Arial" w:cs="Arial"/>
          <w:color w:val="000000"/>
        </w:rPr>
        <w:t>West's Key Number Digest, Labor an</w:t>
      </w:r>
      <w:r>
        <w:rPr>
          <w:rFonts w:ascii="Arial" w:eastAsia="Arial" w:hAnsi="Arial" w:cs="Arial"/>
          <w:color w:val="000000"/>
        </w:rPr>
        <w:t>d Employment [westkey]1150, 2461, 2463</w:t>
      </w:r>
    </w:p>
    <w:p w:rsidR="007A6EB4" w:rsidRDefault="006F3363">
      <w:pPr>
        <w:spacing w:before="120" w:line="300" w:lineRule="atLeast"/>
      </w:pPr>
      <w:r>
        <w:rPr>
          <w:rFonts w:ascii="Arial" w:eastAsia="Arial" w:hAnsi="Arial" w:cs="Arial"/>
          <w:color w:val="000000"/>
        </w:rPr>
        <w:t>West's Key Number Digest, Officers and Public Employees [westkey]8, 9, 11, 19, 49, 61, 69.2</w:t>
      </w:r>
    </w:p>
    <w:p w:rsidR="007A6EB4" w:rsidRDefault="006F3363">
      <w:pPr>
        <w:spacing w:before="120" w:line="300" w:lineRule="atLeast"/>
      </w:pPr>
      <w:r>
        <w:rPr>
          <w:rFonts w:ascii="Arial" w:eastAsia="Arial" w:hAnsi="Arial" w:cs="Arial"/>
          <w:color w:val="000000"/>
        </w:rPr>
        <w:t>West's Key Number Digest, States [westkey]18.49</w:t>
      </w:r>
    </w:p>
    <w:p w:rsidR="007A6EB4" w:rsidRDefault="006F3363">
      <w:pPr>
        <w:spacing w:before="120" w:line="300" w:lineRule="atLeast"/>
      </w:pPr>
      <w:r>
        <w:rPr>
          <w:rFonts w:ascii="Arial" w:eastAsia="Arial" w:hAnsi="Arial" w:cs="Arial"/>
          <w:color w:val="000000"/>
        </w:rPr>
        <w:t>A.L.R. Index, Age Discrimination</w:t>
      </w:r>
    </w:p>
    <w:p w:rsidR="007A6EB4" w:rsidRDefault="006F3363">
      <w:pPr>
        <w:spacing w:before="120" w:line="300" w:lineRule="atLeast"/>
      </w:pPr>
      <w:r>
        <w:rPr>
          <w:rFonts w:ascii="Arial" w:eastAsia="Arial" w:hAnsi="Arial" w:cs="Arial"/>
          <w:color w:val="000000"/>
        </w:rPr>
        <w:t xml:space="preserve">A.L.R. Index, Civil Rights and </w:t>
      </w:r>
      <w:r>
        <w:rPr>
          <w:rFonts w:ascii="Arial" w:eastAsia="Arial" w:hAnsi="Arial" w:cs="Arial"/>
          <w:color w:val="000000"/>
        </w:rPr>
        <w:t>Discrimination</w:t>
      </w:r>
    </w:p>
    <w:p w:rsidR="007A6EB4" w:rsidRDefault="006F3363">
      <w:pPr>
        <w:spacing w:before="120" w:line="300" w:lineRule="atLeast"/>
      </w:pPr>
      <w:r>
        <w:rPr>
          <w:rFonts w:ascii="Arial" w:eastAsia="Arial" w:hAnsi="Arial" w:cs="Arial"/>
          <w:color w:val="000000"/>
        </w:rPr>
        <w:t>A.L.R. Index, Discharge from Employment or Office</w:t>
      </w:r>
    </w:p>
    <w:p w:rsidR="007A6EB4" w:rsidRDefault="006F3363">
      <w:pPr>
        <w:spacing w:before="120" w:line="300" w:lineRule="atLeast"/>
      </w:pPr>
      <w:r>
        <w:rPr>
          <w:rFonts w:ascii="Arial" w:eastAsia="Arial" w:hAnsi="Arial" w:cs="Arial"/>
          <w:color w:val="000000"/>
        </w:rPr>
        <w:lastRenderedPageBreak/>
        <w:t>A.L.R. Index, Equal Employment Opportunity</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A.L.R. Index, Religion and Religious Societies</w:t>
      </w:r>
    </w:p>
    <w:p w:rsidR="007A6EB4" w:rsidRDefault="006F3363">
      <w:pPr>
        <w:spacing w:before="120" w:line="300" w:lineRule="atLeast"/>
      </w:pPr>
      <w:r>
        <w:rPr>
          <w:rFonts w:ascii="Arial" w:eastAsia="Arial" w:hAnsi="Arial" w:cs="Arial"/>
          <w:color w:val="000000"/>
        </w:rPr>
        <w:t>A.L.R. Index, Sex Discrimination</w:t>
      </w:r>
    </w:p>
    <w:p w:rsidR="007A6EB4" w:rsidRDefault="006F3363">
      <w:pPr>
        <w:spacing w:before="120" w:line="300" w:lineRule="atLeast"/>
      </w:pPr>
      <w:r>
        <w:rPr>
          <w:rFonts w:ascii="Arial" w:eastAsia="Arial" w:hAnsi="Arial" w:cs="Arial"/>
          <w:color w:val="000000"/>
        </w:rPr>
        <w:t>West's A.L.R. Digest, Civil Righ</w:t>
      </w:r>
      <w:r>
        <w:rPr>
          <w:rFonts w:ascii="Arial" w:eastAsia="Arial" w:hAnsi="Arial" w:cs="Arial"/>
          <w:color w:val="000000"/>
        </w:rPr>
        <w:t xml:space="preserve">ts [westkey]1009 to 1016, 1019(3), 1019(5), 1024, 1104, 1107, 1111, 1113 to 1116, 1136 to 1138, 1140, 1141, 1164 to 1190, 1196, 1206, 1207, 1216 to 1218, 1225(1) to 1225(3), 1242 to 1245, 1261, 1262, 1536, 1544, 1545, 1553, 1703, 1704, 1710, 1720, 1727 to </w:t>
      </w:r>
      <w:r>
        <w:rPr>
          <w:rFonts w:ascii="Arial" w:eastAsia="Arial" w:hAnsi="Arial" w:cs="Arial"/>
          <w:color w:val="000000"/>
        </w:rPr>
        <w:t>1729, 1736, 1740, 1744, 1808</w:t>
      </w:r>
    </w:p>
    <w:p w:rsidR="007A6EB4" w:rsidRDefault="006F3363">
      <w:pPr>
        <w:spacing w:before="120" w:line="300" w:lineRule="atLeast"/>
      </w:pPr>
      <w:r>
        <w:rPr>
          <w:rFonts w:ascii="Arial" w:eastAsia="Arial" w:hAnsi="Arial" w:cs="Arial"/>
          <w:color w:val="000000"/>
        </w:rPr>
        <w:t>West's A.L.R. Digest, Courts [westkey]97(1), 97(5)</w:t>
      </w:r>
    </w:p>
    <w:p w:rsidR="007A6EB4" w:rsidRDefault="006F3363">
      <w:pPr>
        <w:spacing w:before="120" w:line="300" w:lineRule="atLeast"/>
      </w:pPr>
      <w:r>
        <w:rPr>
          <w:rFonts w:ascii="Arial" w:eastAsia="Arial" w:hAnsi="Arial" w:cs="Arial"/>
          <w:color w:val="000000"/>
        </w:rPr>
        <w:t>West's A.L.R. Digest, Labor and Employment [westkey]1150, 2461, 2463</w:t>
      </w:r>
    </w:p>
    <w:p w:rsidR="007A6EB4" w:rsidRDefault="006F3363">
      <w:pPr>
        <w:spacing w:before="120" w:line="300" w:lineRule="atLeast"/>
      </w:pPr>
      <w:r>
        <w:rPr>
          <w:rFonts w:ascii="Arial" w:eastAsia="Arial" w:hAnsi="Arial" w:cs="Arial"/>
          <w:color w:val="000000"/>
        </w:rPr>
        <w:t>West's A.L.R. Digest, Officers and Public Employees [westkey]8, 9, 11, 19, 49, 61, 69.2</w:t>
      </w:r>
    </w:p>
    <w:p w:rsidR="007A6EB4" w:rsidRDefault="006F3363">
      <w:pPr>
        <w:spacing w:before="120" w:line="300" w:lineRule="atLeast"/>
      </w:pPr>
      <w:r>
        <w:rPr>
          <w:rFonts w:ascii="Arial" w:eastAsia="Arial" w:hAnsi="Arial" w:cs="Arial"/>
          <w:color w:val="000000"/>
        </w:rPr>
        <w:t>West's A.L.R. Diges</w:t>
      </w:r>
      <w:r>
        <w:rPr>
          <w:rFonts w:ascii="Arial" w:eastAsia="Arial" w:hAnsi="Arial" w:cs="Arial"/>
          <w:color w:val="000000"/>
        </w:rPr>
        <w:t>t, States [westkey]18.49</w:t>
      </w:r>
    </w:p>
    <w:p w:rsidR="007A6EB4" w:rsidRDefault="006F3363">
      <w:pPr>
        <w:spacing w:before="120" w:line="300" w:lineRule="atLeast"/>
      </w:pPr>
      <w:r>
        <w:rPr>
          <w:rFonts w:ascii="Arial" w:eastAsia="Arial" w:hAnsi="Arial" w:cs="Arial"/>
          <w:color w:val="000000"/>
        </w:rPr>
        <w:t>Am. Jur. 2d, Job Discrimination §§ 1 to 2804</w:t>
      </w:r>
    </w:p>
    <w:p w:rsidR="007A6EB4" w:rsidRDefault="006F3363">
      <w:pPr>
        <w:spacing w:before="120" w:line="300" w:lineRule="atLeast"/>
      </w:pPr>
      <w:r>
        <w:rPr>
          <w:rFonts w:ascii="Arial" w:eastAsia="Arial" w:hAnsi="Arial" w:cs="Arial"/>
          <w:color w:val="000000"/>
        </w:rPr>
        <w:t>C.J.S., Civil Rights §§ 214 to 304</w:t>
      </w:r>
    </w:p>
    <w:p w:rsidR="007A6EB4" w:rsidRDefault="006F3363">
      <w:pPr>
        <w:spacing w:before="120" w:line="300" w:lineRule="atLeast"/>
      </w:pPr>
      <w:r>
        <w:rPr>
          <w:rFonts w:ascii="Arial" w:eastAsia="Arial" w:hAnsi="Arial" w:cs="Arial"/>
          <w:color w:val="000000"/>
        </w:rPr>
        <w:t>C.J.S., Employer-Employee Relationship § 83</w:t>
      </w:r>
    </w:p>
    <w:p w:rsidR="007A6EB4" w:rsidRDefault="006F3363">
      <w:pPr>
        <w:spacing w:before="120" w:line="300" w:lineRule="atLeast"/>
      </w:pPr>
      <w:r>
        <w:rPr>
          <w:rFonts w:ascii="Arial" w:eastAsia="Arial" w:hAnsi="Arial" w:cs="Arial"/>
          <w:color w:val="000000"/>
        </w:rPr>
        <w:t>Employment Discrimination Coordinator, State Law § 13:1</w:t>
      </w:r>
    </w:p>
    <w:p w:rsidR="007A6EB4" w:rsidRDefault="006F3363">
      <w:pPr>
        <w:spacing w:before="120" w:line="300" w:lineRule="atLeast"/>
      </w:pPr>
      <w:r>
        <w:rPr>
          <w:rFonts w:ascii="Arial" w:eastAsia="Arial" w:hAnsi="Arial" w:cs="Arial"/>
          <w:color w:val="000000"/>
        </w:rPr>
        <w:t>Employment Discrimination Against Obese Persons, 11</w:t>
      </w:r>
      <w:r>
        <w:rPr>
          <w:rFonts w:ascii="Arial" w:eastAsia="Arial" w:hAnsi="Arial" w:cs="Arial"/>
          <w:color w:val="000000"/>
        </w:rPr>
        <w:t>1 Am. Jur. Proof of Facts 3d 391</w:t>
      </w:r>
    </w:p>
    <w:p w:rsidR="007A6EB4" w:rsidRDefault="006F3363">
      <w:pPr>
        <w:spacing w:before="120" w:line="300" w:lineRule="atLeast"/>
      </w:pPr>
      <w:r>
        <w:rPr>
          <w:rFonts w:ascii="Arial" w:eastAsia="Arial" w:hAnsi="Arial" w:cs="Arial"/>
          <w:color w:val="000000"/>
        </w:rPr>
        <w:t>Litigating An Employment Discrimination Class Action, 97 Am. Jur. Proof of Facts 3d 81</w:t>
      </w:r>
    </w:p>
    <w:p w:rsidR="007A6EB4" w:rsidRDefault="006F3363">
      <w:pPr>
        <w:spacing w:before="120" w:line="300" w:lineRule="atLeast"/>
      </w:pPr>
      <w:r>
        <w:rPr>
          <w:rFonts w:ascii="Arial" w:eastAsia="Arial" w:hAnsi="Arial" w:cs="Arial"/>
          <w:color w:val="000000"/>
        </w:rPr>
        <w:t xml:space="preserve">Proof of Employer Liability for Sexual Harassment Claims Under Title VII of the Civil Rights Act of 1964, 52 Am. Jur. Proof of Facts 3d </w:t>
      </w:r>
      <w:r>
        <w:rPr>
          <w:rFonts w:ascii="Arial" w:eastAsia="Arial" w:hAnsi="Arial" w:cs="Arial"/>
          <w:color w:val="000000"/>
        </w:rPr>
        <w:t>1</w:t>
      </w:r>
    </w:p>
    <w:p w:rsidR="007A6EB4" w:rsidRDefault="006F3363">
      <w:pPr>
        <w:spacing w:before="120" w:line="300" w:lineRule="atLeast"/>
      </w:pPr>
      <w:r>
        <w:rPr>
          <w:rFonts w:ascii="Arial" w:eastAsia="Arial" w:hAnsi="Arial" w:cs="Arial"/>
          <w:color w:val="000000"/>
        </w:rPr>
        <w:t>Proof of Racial Discrimination in Employment Promotion Decisions Under Title VII of the Civil Rights Act of 1964, 48 Am. Jur. Proof of Facts 3d 75</w:t>
      </w:r>
    </w:p>
    <w:p w:rsidR="007A6EB4" w:rsidRDefault="006F3363">
      <w:pPr>
        <w:spacing w:before="120" w:line="300" w:lineRule="atLeast"/>
      </w:pPr>
      <w:r>
        <w:rPr>
          <w:rFonts w:ascii="Arial" w:eastAsia="Arial" w:hAnsi="Arial" w:cs="Arial"/>
          <w:color w:val="000000"/>
        </w:rPr>
        <w:t>Employment Discrimination on the Basis of Mental Disability Under the Americans with Disabilities Act, 48 A</w:t>
      </w:r>
      <w:r>
        <w:rPr>
          <w:rFonts w:ascii="Arial" w:eastAsia="Arial" w:hAnsi="Arial" w:cs="Arial"/>
          <w:color w:val="000000"/>
        </w:rPr>
        <w:t>m. Jur. Proof of Facts 3d 1</w:t>
      </w:r>
    </w:p>
    <w:p w:rsidR="007A6EB4" w:rsidRDefault="006F3363">
      <w:pPr>
        <w:spacing w:before="120" w:line="300" w:lineRule="atLeast"/>
      </w:pPr>
      <w:r>
        <w:rPr>
          <w:rFonts w:ascii="Arial" w:eastAsia="Arial" w:hAnsi="Arial" w:cs="Arial"/>
          <w:color w:val="000000"/>
        </w:rPr>
        <w:t>Sex Discrimination in Employment Promotion Practices, 46 Am. Jur. Proof of Facts 3d 99</w:t>
      </w:r>
    </w:p>
    <w:p w:rsidR="007A6EB4" w:rsidRDefault="006F3363">
      <w:pPr>
        <w:spacing w:before="120" w:line="300" w:lineRule="atLeast"/>
      </w:pPr>
      <w:r>
        <w:rPr>
          <w:rFonts w:ascii="Arial" w:eastAsia="Arial" w:hAnsi="Arial" w:cs="Arial"/>
          <w:color w:val="000000"/>
        </w:rPr>
        <w:t>Proof of Discrimination Under Age Discrimination in Employment Act, 44 Am. Jur. Proof of Facts 3d 79</w:t>
      </w:r>
    </w:p>
    <w:p w:rsidR="007A6EB4" w:rsidRDefault="006F3363">
      <w:pPr>
        <w:spacing w:before="120" w:line="300" w:lineRule="atLeast"/>
      </w:pPr>
      <w:r>
        <w:rPr>
          <w:rFonts w:ascii="Arial" w:eastAsia="Arial" w:hAnsi="Arial" w:cs="Arial"/>
          <w:color w:val="000000"/>
        </w:rPr>
        <w:t xml:space="preserve">Proof of Discriminatory </w:t>
      </w:r>
      <w:r>
        <w:rPr>
          <w:rFonts w:ascii="Arial" w:eastAsia="Arial" w:hAnsi="Arial" w:cs="Arial"/>
          <w:color w:val="000000"/>
        </w:rPr>
        <w:t>Termination of HIV-Positive Employee, 26 Am. Jur. Proof of Facts 3d 341</w:t>
      </w:r>
    </w:p>
    <w:p w:rsidR="007A6EB4" w:rsidRDefault="006F3363">
      <w:pPr>
        <w:spacing w:before="120" w:line="300" w:lineRule="atLeast"/>
      </w:pPr>
      <w:r>
        <w:rPr>
          <w:rFonts w:ascii="Arial" w:eastAsia="Arial" w:hAnsi="Arial" w:cs="Arial"/>
          <w:color w:val="000000"/>
        </w:rPr>
        <w:t>Employment Handicap Discrimination Based on Gender Dysphoria (Transsexualism), 25 Am. Jur. Proof of Facts 3d 415</w:t>
      </w:r>
    </w:p>
    <w:p w:rsidR="007A6EB4" w:rsidRDefault="006F3363">
      <w:pPr>
        <w:spacing w:before="120" w:line="300" w:lineRule="atLeast"/>
      </w:pPr>
      <w:r>
        <w:rPr>
          <w:rFonts w:ascii="Arial" w:eastAsia="Arial" w:hAnsi="Arial" w:cs="Arial"/>
          <w:color w:val="000000"/>
        </w:rPr>
        <w:t xml:space="preserve">Employment Discrimination Claims Based on Mental Illness or Impairment </w:t>
      </w:r>
      <w:r>
        <w:rPr>
          <w:rFonts w:ascii="Arial" w:eastAsia="Arial" w:hAnsi="Arial" w:cs="Arial"/>
          <w:color w:val="000000"/>
        </w:rPr>
        <w:t>Under the Americans With Disabilities Act, 122 Am. Jur. Trials 509</w:t>
      </w:r>
    </w:p>
    <w:p w:rsidR="007A6EB4" w:rsidRDefault="006F3363">
      <w:pPr>
        <w:spacing w:before="120" w:line="300" w:lineRule="atLeast"/>
      </w:pPr>
      <w:r>
        <w:rPr>
          <w:rFonts w:ascii="Arial" w:eastAsia="Arial" w:hAnsi="Arial" w:cs="Arial"/>
          <w:color w:val="000000"/>
        </w:rPr>
        <w:t>Disability Discrimination Based on Dyslexia in Employment Actions Under the Americans with Disabilities Act, 74 Am. Jur. Trials 255</w:t>
      </w:r>
    </w:p>
    <w:p w:rsidR="007A6EB4" w:rsidRDefault="006F3363">
      <w:pPr>
        <w:spacing w:before="120" w:line="300" w:lineRule="atLeast"/>
      </w:pPr>
      <w:r>
        <w:rPr>
          <w:rFonts w:ascii="Arial" w:eastAsia="Arial" w:hAnsi="Arial" w:cs="Arial"/>
          <w:color w:val="000000"/>
        </w:rPr>
        <w:t xml:space="preserve">Efficiently and Effectively Defending </w:t>
      </w:r>
      <w:r>
        <w:rPr>
          <w:rFonts w:ascii="Arial" w:eastAsia="Arial" w:hAnsi="Arial" w:cs="Arial"/>
          <w:color w:val="000000"/>
        </w:rPr>
        <w:t>Employment Discrimination Cases, 63 Am. Jur. Trials 127</w:t>
      </w:r>
    </w:p>
    <w:p w:rsidR="007A6EB4" w:rsidRDefault="006F3363">
      <w:pPr>
        <w:spacing w:before="120" w:line="300" w:lineRule="atLeast"/>
      </w:pPr>
      <w:r>
        <w:rPr>
          <w:rFonts w:ascii="Arial" w:eastAsia="Arial" w:hAnsi="Arial" w:cs="Arial"/>
          <w:color w:val="000000"/>
        </w:rPr>
        <w:lastRenderedPageBreak/>
        <w:t>Sex Discrimination Based Upon Sexual Stereotyping, 53 Am. Jur. Trials 299</w:t>
      </w:r>
    </w:p>
    <w:p w:rsidR="007A6EB4" w:rsidRDefault="006F3363">
      <w:pPr>
        <w:spacing w:before="120" w:line="300" w:lineRule="atLeast"/>
      </w:pPr>
      <w:r>
        <w:rPr>
          <w:rFonts w:ascii="Arial" w:eastAsia="Arial" w:hAnsi="Arial" w:cs="Arial"/>
          <w:color w:val="000000"/>
        </w:rPr>
        <w:t>Sexual Harassment on the Job, 33 Am. Jur. Trials 257</w:t>
      </w:r>
    </w:p>
    <w:p w:rsidR="007A6EB4" w:rsidRDefault="006F3363">
      <w:pPr>
        <w:spacing w:before="120" w:line="300" w:lineRule="atLeast"/>
      </w:pPr>
      <w:r>
        <w:rPr>
          <w:rFonts w:ascii="Arial" w:eastAsia="Arial" w:hAnsi="Arial" w:cs="Arial"/>
          <w:color w:val="000000"/>
        </w:rPr>
        <w:t>Am. Jur. Pleading and Practice Forms, Civil Rights §§ 77 to 137.50</w:t>
      </w:r>
    </w:p>
    <w:p w:rsidR="007A6EB4" w:rsidRDefault="006F3363">
      <w:pPr>
        <w:spacing w:before="120" w:line="300" w:lineRule="atLeast"/>
      </w:pPr>
      <w:r>
        <w:rPr>
          <w:rFonts w:ascii="Arial" w:eastAsia="Arial" w:hAnsi="Arial" w:cs="Arial"/>
          <w:color w:val="000000"/>
        </w:rPr>
        <w:t>Am. Ju</w:t>
      </w:r>
      <w:r>
        <w:rPr>
          <w:rFonts w:ascii="Arial" w:eastAsia="Arial" w:hAnsi="Arial" w:cs="Arial"/>
          <w:color w:val="000000"/>
        </w:rPr>
        <w:t>r. Pleading and Practice Forms, Constitutional Law § 7</w:t>
      </w:r>
    </w:p>
    <w:p w:rsidR="007A6EB4" w:rsidRDefault="006F3363">
      <w:pPr>
        <w:spacing w:before="120" w:line="300" w:lineRule="atLeast"/>
      </w:pPr>
      <w:r>
        <w:rPr>
          <w:rFonts w:ascii="Arial" w:eastAsia="Arial" w:hAnsi="Arial" w:cs="Arial"/>
          <w:color w:val="000000"/>
        </w:rPr>
        <w:t>Am. Jur. Pleading and Practice Forms, Labor and Labor Relations §§ 266 to 284</w:t>
      </w:r>
    </w:p>
    <w:p w:rsidR="007A6EB4" w:rsidRDefault="006F3363">
      <w:pPr>
        <w:spacing w:before="120" w:line="300" w:lineRule="atLeast"/>
      </w:pPr>
      <w:r>
        <w:rPr>
          <w:rFonts w:ascii="Arial" w:eastAsia="Arial" w:hAnsi="Arial" w:cs="Arial"/>
          <w:color w:val="000000"/>
        </w:rPr>
        <w:t>Florida Jur. Forms Legal and Business §§ 20:162, 26:21</w:t>
      </w:r>
    </w:p>
    <w:p w:rsidR="007A6EB4" w:rsidRDefault="006F3363">
      <w:pPr>
        <w:spacing w:before="120" w:line="300" w:lineRule="atLeast"/>
      </w:pPr>
      <w:r>
        <w:rPr>
          <w:rFonts w:ascii="Arial" w:eastAsia="Arial" w:hAnsi="Arial" w:cs="Arial"/>
          <w:color w:val="000000"/>
        </w:rPr>
        <w:t>Florida Pleading and Practice Forms §§ 85:40 to 85:44</w:t>
      </w:r>
    </w:p>
    <w:p w:rsidR="007A6EB4" w:rsidRDefault="006F3363">
      <w:pPr>
        <w:spacing w:before="120" w:line="300" w:lineRule="atLeast"/>
      </w:pPr>
      <w:r>
        <w:rPr>
          <w:rFonts w:ascii="Arial" w:eastAsia="Arial" w:hAnsi="Arial" w:cs="Arial"/>
          <w:color w:val="000000"/>
        </w:rPr>
        <w:t>West's Key Num</w:t>
      </w:r>
      <w:r>
        <w:rPr>
          <w:rFonts w:ascii="Arial" w:eastAsia="Arial" w:hAnsi="Arial" w:cs="Arial"/>
          <w:color w:val="000000"/>
        </w:rPr>
        <w:t>ber Digest, Labor and Employment [westkey]1150</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33" style="position:absolute;left:0;text-align:left;z-index:25183334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29"/>
          <w:headerReference w:type="default" r:id="rId230"/>
          <w:footerReference w:type="even" r:id="rId231"/>
          <w:footerReference w:type="default" r:id="rId232"/>
          <w:headerReference w:type="first" r:id="rId233"/>
          <w:footerReference w:type="first" r:id="rId234"/>
          <w:pgSz w:w="12240" w:h="15840"/>
          <w:pgMar w:top="840" w:right="1000" w:bottom="840" w:left="1000" w:header="400" w:footer="400" w:gutter="0"/>
          <w:cols w:space="720"/>
          <w:titlePg/>
        </w:sectPr>
      </w:pPr>
    </w:p>
    <w:p w:rsidR="007A6EB4" w:rsidRDefault="007A6EB4">
      <w:bookmarkStart w:id="38" w:name="Bookmark_38"/>
      <w:bookmarkEnd w:id="38"/>
    </w:p>
    <w:p w:rsidR="007A6EB4" w:rsidRDefault="006F3363">
      <w:r>
        <w:pict>
          <v:shape id="_x0000_i1062"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 xml:space="preserve">9 Fla Jur </w:t>
      </w:r>
      <w:r>
        <w:rPr>
          <w:rFonts w:ascii="Arial" w:eastAsia="Arial" w:hAnsi="Arial" w:cs="Arial"/>
          <w:b/>
          <w:bCs/>
          <w:color w:val="000000"/>
          <w:kern w:val="32"/>
          <w:sz w:val="28"/>
          <w:szCs w:val="32"/>
        </w:rPr>
        <w:t>Civil Rights § 37</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C. Discrimination in Housing</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35" style="position:absolute;z-index:25169612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37 Generally; Fair Housing Act</w:t>
      </w:r>
    </w:p>
    <w:p w:rsidR="007A6EB4" w:rsidRDefault="006F3363">
      <w:pPr>
        <w:spacing w:line="60" w:lineRule="exact"/>
      </w:pPr>
      <w:r>
        <w:pict>
          <v:line id="_x0000_s1236" style="position:absolute;z-index:25174220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The statutes</w:t>
      </w:r>
      <w:r>
        <w:rPr>
          <w:rFonts w:ascii="Arial" w:eastAsia="Arial" w:hAnsi="Arial" w:cs="Arial"/>
          <w:vertAlign w:val="superscript"/>
        </w:rPr>
        <w:footnoteReference w:customMarkFollows="1" w:id="306"/>
        <w:t>n1</w:t>
      </w:r>
      <w:r>
        <w:rPr>
          <w:rFonts w:ascii="Arial" w:eastAsia="Arial" w:hAnsi="Arial" w:cs="Arial"/>
          <w:color w:val="000000"/>
        </w:rPr>
        <w:t xml:space="preserve"> collectively referred to as the "Fair Housing Ac</w:t>
      </w:r>
      <w:r>
        <w:rPr>
          <w:rFonts w:ascii="Arial" w:eastAsia="Arial" w:hAnsi="Arial" w:cs="Arial"/>
          <w:color w:val="000000"/>
        </w:rPr>
        <w:t>t"</w:t>
      </w:r>
      <w:r>
        <w:rPr>
          <w:rFonts w:ascii="Arial" w:eastAsia="Arial" w:hAnsi="Arial" w:cs="Arial"/>
          <w:vertAlign w:val="superscript"/>
        </w:rPr>
        <w:footnoteReference w:customMarkFollows="1" w:id="307"/>
        <w:t>n2</w:t>
      </w:r>
      <w:r>
        <w:rPr>
          <w:rFonts w:ascii="Arial" w:eastAsia="Arial" w:hAnsi="Arial" w:cs="Arial"/>
          <w:color w:val="000000"/>
        </w:rPr>
        <w:t xml:space="preserve"> provide that it is unlawful to discriminate on the basis of race, color, national origin, sex, handicap, familial status, or religion in the provision of housing and various housing-related services.</w:t>
      </w:r>
      <w:r>
        <w:rPr>
          <w:rFonts w:ascii="Arial" w:eastAsia="Arial" w:hAnsi="Arial" w:cs="Arial"/>
          <w:vertAlign w:val="superscript"/>
        </w:rPr>
        <w:footnoteReference w:customMarkFollows="1" w:id="308"/>
        <w:t>n3</w:t>
      </w:r>
      <w:r>
        <w:rPr>
          <w:rFonts w:ascii="Arial" w:eastAsia="Arial" w:hAnsi="Arial" w:cs="Arial"/>
          <w:color w:val="000000"/>
        </w:rPr>
        <w:t xml:space="preserve"> The Act applies to all aspects of both sales and </w:t>
      </w:r>
      <w:r>
        <w:rPr>
          <w:rFonts w:ascii="Arial" w:eastAsia="Arial" w:hAnsi="Arial" w:cs="Arial"/>
          <w:color w:val="000000"/>
        </w:rPr>
        <w:t>rentals of housing and, furthermore, applies to brokerage services</w:t>
      </w:r>
      <w:r>
        <w:rPr>
          <w:rFonts w:ascii="Arial" w:eastAsia="Arial" w:hAnsi="Arial" w:cs="Arial"/>
          <w:vertAlign w:val="superscript"/>
        </w:rPr>
        <w:footnoteReference w:customMarkFollows="1" w:id="309"/>
        <w:t>n4</w:t>
      </w:r>
      <w:r>
        <w:rPr>
          <w:rFonts w:ascii="Arial" w:eastAsia="Arial" w:hAnsi="Arial" w:cs="Arial"/>
          <w:color w:val="000000"/>
        </w:rPr>
        <w:t xml:space="preserve"> and housing financing.</w:t>
      </w:r>
      <w:r>
        <w:rPr>
          <w:rFonts w:ascii="Arial" w:eastAsia="Arial" w:hAnsi="Arial" w:cs="Arial"/>
          <w:vertAlign w:val="superscript"/>
        </w:rPr>
        <w:footnoteReference w:customMarkFollows="1" w:id="310"/>
        <w:t>n5</w:t>
      </w:r>
    </w:p>
    <w:p w:rsidR="007A6EB4" w:rsidRDefault="006F3363">
      <w:pPr>
        <w:spacing w:before="200" w:line="300" w:lineRule="atLeast"/>
        <w:jc w:val="both"/>
      </w:pPr>
      <w:r>
        <w:rPr>
          <w:rFonts w:ascii="Arial" w:eastAsia="Arial" w:hAnsi="Arial" w:cs="Arial"/>
          <w:color w:val="000000"/>
        </w:rPr>
        <w:t>Observation: Counties may properly enact ordinances that prohibit age discrimination in housing as well.</w:t>
      </w:r>
      <w:r>
        <w:rPr>
          <w:rFonts w:ascii="Arial" w:eastAsia="Arial" w:hAnsi="Arial" w:cs="Arial"/>
          <w:vertAlign w:val="superscript"/>
        </w:rPr>
        <w:footnoteReference w:customMarkFollows="1" w:id="311"/>
        <w:t>n6</w:t>
      </w:r>
    </w:p>
    <w:p w:rsidR="007A6EB4" w:rsidRDefault="006F3363">
      <w:pPr>
        <w:spacing w:before="200" w:line="300" w:lineRule="atLeast"/>
        <w:jc w:val="both"/>
      </w:pPr>
      <w:r>
        <w:rPr>
          <w:rFonts w:ascii="Arial" w:eastAsia="Arial" w:hAnsi="Arial" w:cs="Arial"/>
          <w:color w:val="000000"/>
        </w:rPr>
        <w:t>The Act does not prohibit:</w:t>
      </w:r>
    </w:p>
    <w:p w:rsidR="007A6EB4" w:rsidRDefault="006F3363">
      <w:pPr>
        <w:spacing w:before="200" w:line="300" w:lineRule="atLeast"/>
        <w:jc w:val="both"/>
      </w:pPr>
      <w:r>
        <w:rPr>
          <w:rFonts w:ascii="Arial" w:eastAsia="Arial" w:hAnsi="Arial" w:cs="Arial"/>
          <w:color w:val="000000"/>
        </w:rPr>
        <w:t xml:space="preserve">(1)a religious </w:t>
      </w:r>
      <w:r>
        <w:rPr>
          <w:rFonts w:ascii="Arial" w:eastAsia="Arial" w:hAnsi="Arial" w:cs="Arial"/>
          <w:color w:val="000000"/>
        </w:rPr>
        <w:t xml:space="preserve">organization, association, or society, or a nonprofit institution or organization operated, supervised, or controlled by or in conjunction with a religious organization, association, or society, from limiting the sale, rental, or occupancy of any dwelling </w:t>
      </w:r>
      <w:r>
        <w:rPr>
          <w:rFonts w:ascii="Arial" w:eastAsia="Arial" w:hAnsi="Arial" w:cs="Arial"/>
          <w:color w:val="000000"/>
        </w:rPr>
        <w:t>that it owns or operates for other than a commercial purpose to persons of the same religion or from giving preference to such persons unless membership in the religion is restricted on account of race, color, or national origin;</w:t>
      </w:r>
      <w:r>
        <w:rPr>
          <w:rFonts w:ascii="Arial" w:eastAsia="Arial" w:hAnsi="Arial" w:cs="Arial"/>
          <w:vertAlign w:val="superscript"/>
        </w:rPr>
        <w:footnoteReference w:customMarkFollows="1" w:id="312"/>
        <w:t>n7</w:t>
      </w:r>
    </w:p>
    <w:p w:rsidR="007A6EB4" w:rsidRDefault="006F3363">
      <w:pPr>
        <w:spacing w:before="200" w:line="300" w:lineRule="atLeast"/>
        <w:jc w:val="both"/>
      </w:pPr>
      <w:r>
        <w:rPr>
          <w:rFonts w:ascii="Arial" w:eastAsia="Arial" w:hAnsi="Arial" w:cs="Arial"/>
          <w:color w:val="000000"/>
        </w:rPr>
        <w:lastRenderedPageBreak/>
        <w:t>(2)a private club not in</w:t>
      </w:r>
      <w:r>
        <w:rPr>
          <w:rFonts w:ascii="Arial" w:eastAsia="Arial" w:hAnsi="Arial" w:cs="Arial"/>
          <w:color w:val="000000"/>
        </w:rPr>
        <w:t xml:space="preserve"> fact open to the public, which as an incident to its primary purpose or purposes provides lodgings that it owns or operates for other than a commercial purpose, from limiting the rental or occupancy of such lodgings to its members or from giving preferenc</w:t>
      </w:r>
      <w:r>
        <w:rPr>
          <w:rFonts w:ascii="Arial" w:eastAsia="Arial" w:hAnsi="Arial" w:cs="Arial"/>
          <w:color w:val="000000"/>
        </w:rPr>
        <w:t>e to its members;</w:t>
      </w:r>
      <w:r>
        <w:rPr>
          <w:rFonts w:ascii="Arial" w:eastAsia="Arial" w:hAnsi="Arial" w:cs="Arial"/>
          <w:vertAlign w:val="superscript"/>
        </w:rPr>
        <w:footnoteReference w:customMarkFollows="1" w:id="313"/>
        <w:t>n8</w:t>
      </w:r>
    </w:p>
    <w:p w:rsidR="007A6EB4" w:rsidRDefault="006F3363">
      <w:pPr>
        <w:spacing w:before="200" w:line="300" w:lineRule="atLeast"/>
        <w:jc w:val="both"/>
      </w:pPr>
      <w:r>
        <w:rPr>
          <w:rFonts w:ascii="Arial" w:eastAsia="Arial" w:hAnsi="Arial" w:cs="Arial"/>
          <w:color w:val="000000"/>
        </w:rPr>
        <w:t>(3)a person who furnishes real property appraisals from taking into consideration factors other than race, color, national origin, sex, handicap, familial status, or religion;</w:t>
      </w:r>
      <w:r>
        <w:rPr>
          <w:rFonts w:ascii="Arial" w:eastAsia="Arial" w:hAnsi="Arial" w:cs="Arial"/>
          <w:vertAlign w:val="superscript"/>
        </w:rPr>
        <w:footnoteReference w:customMarkFollows="1" w:id="314"/>
        <w:t>n9</w:t>
      </w:r>
      <w:r>
        <w:rPr>
          <w:rFonts w:ascii="Arial" w:eastAsia="Arial" w:hAnsi="Arial" w:cs="Arial"/>
          <w:color w:val="000000"/>
        </w:rPr>
        <w:t xml:space="preserve"> or</w:t>
      </w:r>
    </w:p>
    <w:p w:rsidR="007A6EB4" w:rsidRDefault="006F3363">
      <w:pPr>
        <w:spacing w:before="200" w:line="300" w:lineRule="atLeast"/>
        <w:jc w:val="both"/>
      </w:pPr>
      <w:r>
        <w:rPr>
          <w:rFonts w:ascii="Arial" w:eastAsia="Arial" w:hAnsi="Arial" w:cs="Arial"/>
          <w:color w:val="000000"/>
        </w:rPr>
        <w:t>(4)conduct against a person because the person has been</w:t>
      </w:r>
      <w:r>
        <w:rPr>
          <w:rFonts w:ascii="Arial" w:eastAsia="Arial" w:hAnsi="Arial" w:cs="Arial"/>
          <w:color w:val="000000"/>
        </w:rPr>
        <w:t xml:space="preserve"> convicted of illegally manufacturing or distributing controlled substances.</w:t>
      </w:r>
      <w:r>
        <w:rPr>
          <w:rFonts w:ascii="Arial" w:eastAsia="Arial" w:hAnsi="Arial" w:cs="Arial"/>
          <w:vertAlign w:val="superscript"/>
        </w:rPr>
        <w:footnoteReference w:customMarkFollows="1" w:id="315"/>
        <w:t>n10</w:t>
      </w:r>
    </w:p>
    <w:p w:rsidR="007A6EB4" w:rsidRDefault="006F3363">
      <w:pPr>
        <w:spacing w:before="200" w:line="300" w:lineRule="atLeast"/>
        <w:jc w:val="both"/>
      </w:pPr>
      <w:r>
        <w:rPr>
          <w:rFonts w:ascii="Arial" w:eastAsia="Arial" w:hAnsi="Arial" w:cs="Arial"/>
          <w:color w:val="000000"/>
        </w:rPr>
        <w:t xml:space="preserve">Illustration: A homeowners' association did not discriminate against a religious group, consisting in part of association members, in violation of the Florida Fair </w:t>
      </w:r>
      <w:r>
        <w:rPr>
          <w:rFonts w:ascii="Arial" w:eastAsia="Arial" w:hAnsi="Arial" w:cs="Arial"/>
          <w:color w:val="000000"/>
        </w:rPr>
        <w:t>Housing Act, by adopting a rule prohibiting any religious services in the association's common areas, where the Act's prohibition against discrimination in the provision of facilities based on religion applied only to total exclusion on religious grounds a</w:t>
      </w:r>
      <w:r>
        <w:rPr>
          <w:rFonts w:ascii="Arial" w:eastAsia="Arial" w:hAnsi="Arial" w:cs="Arial"/>
          <w:color w:val="000000"/>
        </w:rPr>
        <w:t>nd not to partial exclusion affecting only communal worship in the common areas. In addition, the homeowners' association provided an unrebutted nondiscriminatory reason for the rule prohibiting all religious services in common areas of the housing develop</w:t>
      </w:r>
      <w:r>
        <w:rPr>
          <w:rFonts w:ascii="Arial" w:eastAsia="Arial" w:hAnsi="Arial" w:cs="Arial"/>
          <w:color w:val="000000"/>
        </w:rPr>
        <w:t>ment, precluding a claim that the rule violated the Act, where the services resulted in violation of various rules, such as those governing parking, and impinged upon the rights of association members not participating in the services to use the common are</w:t>
      </w:r>
      <w:r>
        <w:rPr>
          <w:rFonts w:ascii="Arial" w:eastAsia="Arial" w:hAnsi="Arial" w:cs="Arial"/>
          <w:color w:val="000000"/>
        </w:rPr>
        <w:t>a.</w:t>
      </w:r>
      <w:r>
        <w:rPr>
          <w:rFonts w:ascii="Arial" w:eastAsia="Arial" w:hAnsi="Arial" w:cs="Arial"/>
          <w:vertAlign w:val="superscript"/>
        </w:rPr>
        <w:footnoteReference w:customMarkFollows="1" w:id="316"/>
        <w:t>n11</w:t>
      </w:r>
    </w:p>
    <w:p w:rsidR="007A6EB4" w:rsidRDefault="006F3363">
      <w:pPr>
        <w:spacing w:before="200" w:line="300" w:lineRule="atLeast"/>
        <w:jc w:val="both"/>
      </w:pPr>
      <w:r>
        <w:rPr>
          <w:rFonts w:ascii="Arial" w:eastAsia="Arial" w:hAnsi="Arial" w:cs="Arial"/>
          <w:color w:val="000000"/>
        </w:rPr>
        <w:t>Furthermore, any provision in the Act regarding familial status does not apply with respect to housing for older persons,</w:t>
      </w:r>
      <w:r>
        <w:rPr>
          <w:rFonts w:ascii="Arial" w:eastAsia="Arial" w:hAnsi="Arial" w:cs="Arial"/>
          <w:vertAlign w:val="superscript"/>
        </w:rPr>
        <w:footnoteReference w:customMarkFollows="1" w:id="317"/>
        <w:t>n12</w:t>
      </w:r>
      <w:r>
        <w:rPr>
          <w:rFonts w:ascii="Arial" w:eastAsia="Arial" w:hAnsi="Arial" w:cs="Arial"/>
          <w:color w:val="000000"/>
        </w:rPr>
        <w:t xml:space="preserve"> nor must a dwelling be made available to an individual whose tenancy would constitute a direct threat to the health or safety</w:t>
      </w:r>
      <w:r>
        <w:rPr>
          <w:rFonts w:ascii="Arial" w:eastAsia="Arial" w:hAnsi="Arial" w:cs="Arial"/>
          <w:color w:val="000000"/>
        </w:rPr>
        <w:t xml:space="preserve"> of other individuals or whose tenancy would result in substantial physical damage to the property of others.</w:t>
      </w:r>
      <w:r>
        <w:rPr>
          <w:rFonts w:ascii="Arial" w:eastAsia="Arial" w:hAnsi="Arial" w:cs="Arial"/>
          <w:vertAlign w:val="superscript"/>
        </w:rPr>
        <w:footnoteReference w:customMarkFollows="1" w:id="318"/>
        <w:t>n13</w:t>
      </w:r>
      <w:r>
        <w:rPr>
          <w:rFonts w:ascii="Arial" w:eastAsia="Arial" w:hAnsi="Arial" w:cs="Arial"/>
          <w:color w:val="000000"/>
        </w:rPr>
        <w:t xml:space="preserve"> Provisions of the Act relating to discrimination in the sale or rental of housing</w:t>
      </w:r>
      <w:r>
        <w:rPr>
          <w:rFonts w:ascii="Arial" w:eastAsia="Arial" w:hAnsi="Arial" w:cs="Arial"/>
          <w:vertAlign w:val="superscript"/>
        </w:rPr>
        <w:footnoteReference w:customMarkFollows="1" w:id="319"/>
        <w:t>n14</w:t>
      </w:r>
      <w:r>
        <w:rPr>
          <w:rFonts w:ascii="Arial" w:eastAsia="Arial" w:hAnsi="Arial" w:cs="Arial"/>
          <w:color w:val="000000"/>
        </w:rPr>
        <w:t xml:space="preserve"> or in the financing of housing</w:t>
      </w:r>
      <w:r>
        <w:rPr>
          <w:rFonts w:ascii="Arial" w:eastAsia="Arial" w:hAnsi="Arial" w:cs="Arial"/>
          <w:vertAlign w:val="superscript"/>
        </w:rPr>
        <w:footnoteReference w:customMarkFollows="1" w:id="320"/>
        <w:t>n15</w:t>
      </w:r>
      <w:r>
        <w:rPr>
          <w:rFonts w:ascii="Arial" w:eastAsia="Arial" w:hAnsi="Arial" w:cs="Arial"/>
          <w:color w:val="000000"/>
        </w:rPr>
        <w:t xml:space="preserve"> do not apply to: (1) sin</w:t>
      </w:r>
      <w:r>
        <w:rPr>
          <w:rFonts w:ascii="Arial" w:eastAsia="Arial" w:hAnsi="Arial" w:cs="Arial"/>
          <w:color w:val="000000"/>
        </w:rPr>
        <w:t>gle-family houses sold or rented by the owner provided that the owner does not own more than three single-family houses and is not professionally assisted in the sale or rental</w:t>
      </w:r>
      <w:r>
        <w:rPr>
          <w:rFonts w:ascii="Arial" w:eastAsia="Arial" w:hAnsi="Arial" w:cs="Arial"/>
          <w:vertAlign w:val="superscript"/>
        </w:rPr>
        <w:footnoteReference w:customMarkFollows="1" w:id="321"/>
        <w:t>n16</w:t>
      </w:r>
      <w:r>
        <w:rPr>
          <w:rFonts w:ascii="Arial" w:eastAsia="Arial" w:hAnsi="Arial" w:cs="Arial"/>
          <w:color w:val="000000"/>
        </w:rPr>
        <w:t xml:space="preserve"> or (2) rooms or units in dwellings containing living quarters occupied or in</w:t>
      </w:r>
      <w:r>
        <w:rPr>
          <w:rFonts w:ascii="Arial" w:eastAsia="Arial" w:hAnsi="Arial" w:cs="Arial"/>
          <w:color w:val="000000"/>
        </w:rPr>
        <w:t>tended to be occupied by no more than four families living independently of each other if the owner maintains and occupies one of the living quarters.</w:t>
      </w:r>
      <w:r>
        <w:rPr>
          <w:rFonts w:ascii="Arial" w:eastAsia="Arial" w:hAnsi="Arial" w:cs="Arial"/>
          <w:vertAlign w:val="superscript"/>
        </w:rPr>
        <w:footnoteReference w:customMarkFollows="1" w:id="322"/>
        <w:t>n17</w:t>
      </w:r>
    </w:p>
    <w:p w:rsidR="007A6EB4" w:rsidRDefault="006F3363">
      <w:pPr>
        <w:spacing w:before="200" w:line="300" w:lineRule="atLeast"/>
        <w:jc w:val="both"/>
      </w:pPr>
      <w:r>
        <w:rPr>
          <w:rFonts w:ascii="Arial" w:eastAsia="Arial" w:hAnsi="Arial" w:cs="Arial"/>
          <w:color w:val="000000"/>
        </w:rPr>
        <w:lastRenderedPageBreak/>
        <w:t>Caution: The Act does not limit the applicability of any reasonable local restriction regarding the ma</w:t>
      </w:r>
      <w:r>
        <w:rPr>
          <w:rFonts w:ascii="Arial" w:eastAsia="Arial" w:hAnsi="Arial" w:cs="Arial"/>
          <w:color w:val="000000"/>
        </w:rPr>
        <w:t>ximum number of occupants permitted to occupy a dwelling.</w:t>
      </w:r>
      <w:r>
        <w:rPr>
          <w:rFonts w:ascii="Arial" w:eastAsia="Arial" w:hAnsi="Arial" w:cs="Arial"/>
          <w:vertAlign w:val="superscript"/>
        </w:rPr>
        <w:footnoteReference w:customMarkFollows="1" w:id="323"/>
        <w:t>n18</w:t>
      </w:r>
      <w:r>
        <w:rPr>
          <w:rFonts w:ascii="Arial" w:eastAsia="Arial" w:hAnsi="Arial" w:cs="Arial"/>
          <w:color w:val="000000"/>
        </w:rPr>
        <w:t xml:space="preserve"> Although municipalities may provide for total occupancy limits in their zoning codes, any provisions as to who composes a family for purposes of single-family housing zoning is subject to federal</w:t>
      </w:r>
      <w:r>
        <w:rPr>
          <w:rFonts w:ascii="Arial" w:eastAsia="Arial" w:hAnsi="Arial" w:cs="Arial"/>
          <w:color w:val="000000"/>
        </w:rPr>
        <w:t xml:space="preserve"> fair housing laws.</w:t>
      </w:r>
      <w:r>
        <w:rPr>
          <w:rFonts w:ascii="Arial" w:eastAsia="Arial" w:hAnsi="Arial" w:cs="Arial"/>
          <w:vertAlign w:val="superscript"/>
        </w:rPr>
        <w:footnoteReference w:customMarkFollows="1" w:id="324"/>
        <w:t>n19</w:t>
      </w:r>
    </w:p>
    <w:p w:rsidR="007A6EB4" w:rsidRDefault="006F3363">
      <w:pPr>
        <w:spacing w:before="200" w:line="300" w:lineRule="atLeast"/>
        <w:jc w:val="both"/>
      </w:pPr>
      <w:r>
        <w:rPr>
          <w:rFonts w:ascii="Arial" w:eastAsia="Arial" w:hAnsi="Arial" w:cs="Arial"/>
          <w:color w:val="000000"/>
        </w:rPr>
        <w:t>The Florida Commission on Human Relations is charged with administration of the Act</w:t>
      </w:r>
      <w:r>
        <w:rPr>
          <w:rFonts w:ascii="Arial" w:eastAsia="Arial" w:hAnsi="Arial" w:cs="Arial"/>
          <w:vertAlign w:val="superscript"/>
        </w:rPr>
        <w:footnoteReference w:customMarkFollows="1" w:id="325"/>
        <w:t>n20</w:t>
      </w:r>
      <w:r>
        <w:rPr>
          <w:rFonts w:ascii="Arial" w:eastAsia="Arial" w:hAnsi="Arial" w:cs="Arial"/>
          <w:color w:val="000000"/>
        </w:rPr>
        <w:t xml:space="preserve"> and is granted broad investigatory and enforcement powers in that regard.</w:t>
      </w:r>
      <w:r>
        <w:rPr>
          <w:rFonts w:ascii="Arial" w:eastAsia="Arial" w:hAnsi="Arial" w:cs="Arial"/>
          <w:vertAlign w:val="superscript"/>
        </w:rPr>
        <w:footnoteReference w:customMarkFollows="1" w:id="326"/>
        <w:t>n21</w:t>
      </w:r>
    </w:p>
    <w:p w:rsidR="007A6EB4" w:rsidRDefault="006F3363">
      <w:pPr>
        <w:spacing w:before="200" w:line="300" w:lineRule="atLeast"/>
        <w:jc w:val="both"/>
      </w:pPr>
      <w:r>
        <w:rPr>
          <w:rFonts w:ascii="Arial" w:eastAsia="Arial" w:hAnsi="Arial" w:cs="Arial"/>
          <w:color w:val="000000"/>
        </w:rPr>
        <w:t xml:space="preserve">Practice Tip: A former tenant may not be entitled to recover against </w:t>
      </w:r>
      <w:r>
        <w:rPr>
          <w:rFonts w:ascii="Arial" w:eastAsia="Arial" w:hAnsi="Arial" w:cs="Arial"/>
          <w:color w:val="000000"/>
        </w:rPr>
        <w:t>a landlord for discrimination in housing under the Florida Civil Rights Act where the complaint alleges statutory violations under the Florida Fair Housing Act.</w:t>
      </w:r>
      <w:r>
        <w:rPr>
          <w:rFonts w:ascii="Arial" w:eastAsia="Arial" w:hAnsi="Arial" w:cs="Arial"/>
          <w:vertAlign w:val="superscript"/>
        </w:rPr>
        <w:footnoteReference w:customMarkFollows="1" w:id="327"/>
        <w:t>n22</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37" style="position:absolute;z-index:25178828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[westkey]1024, 1075 to 1084, 1706 to 17</w:t>
      </w:r>
      <w:r>
        <w:rPr>
          <w:rFonts w:ascii="Arial" w:eastAsia="Arial" w:hAnsi="Arial" w:cs="Arial"/>
          <w:color w:val="000000"/>
        </w:rPr>
        <w:t>09, 1717, 1731, 1808</w:t>
      </w:r>
    </w:p>
    <w:p w:rsidR="007A6EB4" w:rsidRDefault="006F3363">
      <w:pPr>
        <w:spacing w:before="120" w:line="300" w:lineRule="atLeast"/>
      </w:pPr>
      <w:r>
        <w:rPr>
          <w:rFonts w:ascii="Arial" w:eastAsia="Arial" w:hAnsi="Arial" w:cs="Arial"/>
          <w:color w:val="000000"/>
        </w:rPr>
        <w:t>A.L.R. Index, Apartments and Apartment Houses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Fair Housing Act</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Civil Rights [westkey]1024, 1075 to 1084, 1706 to 1709</w:t>
      </w:r>
      <w:r>
        <w:rPr>
          <w:rFonts w:ascii="Arial" w:eastAsia="Arial" w:hAnsi="Arial" w:cs="Arial"/>
          <w:color w:val="000000"/>
        </w:rPr>
        <w:t>, 1717, 1731, 1808</w:t>
      </w:r>
    </w:p>
    <w:p w:rsidR="007A6EB4" w:rsidRDefault="006F3363">
      <w:pPr>
        <w:spacing w:before="120" w:line="300" w:lineRule="atLeast"/>
      </w:pPr>
      <w:r>
        <w:rPr>
          <w:rFonts w:ascii="Arial" w:eastAsia="Arial" w:hAnsi="Arial" w:cs="Arial"/>
          <w:color w:val="000000"/>
        </w:rPr>
        <w:t>Am. Jur. 2d, Civil Rights §§ 390 to 529</w:t>
      </w:r>
    </w:p>
    <w:p w:rsidR="007A6EB4" w:rsidRDefault="006F3363">
      <w:pPr>
        <w:spacing w:before="120" w:line="300" w:lineRule="atLeast"/>
      </w:pPr>
      <w:r>
        <w:rPr>
          <w:rFonts w:ascii="Arial" w:eastAsia="Arial" w:hAnsi="Arial" w:cs="Arial"/>
          <w:color w:val="000000"/>
        </w:rPr>
        <w:t>C.J.S., Civil Rights §§ 127 to 133</w:t>
      </w:r>
    </w:p>
    <w:p w:rsidR="007A6EB4" w:rsidRDefault="006F3363">
      <w:pPr>
        <w:spacing w:before="120" w:line="300" w:lineRule="atLeast"/>
      </w:pPr>
      <w:r>
        <w:rPr>
          <w:rFonts w:ascii="Arial" w:eastAsia="Arial" w:hAnsi="Arial" w:cs="Arial"/>
          <w:color w:val="000000"/>
        </w:rPr>
        <w:t>Proof of Housing Discrimination Against a Prospective Tenant on Account of Race or National Origin, 93 Am. Jur. Proof of Facts 3d 415</w:t>
      </w:r>
    </w:p>
    <w:p w:rsidR="007A6EB4" w:rsidRDefault="006F3363">
      <w:pPr>
        <w:spacing w:before="120" w:line="300" w:lineRule="atLeast"/>
      </w:pPr>
      <w:r>
        <w:rPr>
          <w:rFonts w:ascii="Arial" w:eastAsia="Arial" w:hAnsi="Arial" w:cs="Arial"/>
          <w:color w:val="000000"/>
        </w:rPr>
        <w:t xml:space="preserve">Discrimination on the </w:t>
      </w:r>
      <w:r>
        <w:rPr>
          <w:rFonts w:ascii="Arial" w:eastAsia="Arial" w:hAnsi="Arial" w:cs="Arial"/>
          <w:color w:val="000000"/>
        </w:rPr>
        <w:t>Basis of Handicap Under the Fair Housing Act, 23 Am. Jur. Proof of Facts 3d 499</w:t>
      </w:r>
    </w:p>
    <w:p w:rsidR="007A6EB4" w:rsidRDefault="006F3363">
      <w:pPr>
        <w:spacing w:before="120" w:line="300" w:lineRule="atLeast"/>
      </w:pPr>
      <w:r>
        <w:rPr>
          <w:rFonts w:ascii="Arial" w:eastAsia="Arial" w:hAnsi="Arial" w:cs="Arial"/>
          <w:color w:val="000000"/>
        </w:rPr>
        <w:t>Racial Discrimination in Sale of Real Estate, 14 Am. Jur. Proof of Facts 2d 511</w:t>
      </w:r>
    </w:p>
    <w:p w:rsidR="007A6EB4" w:rsidRDefault="006F3363">
      <w:pPr>
        <w:spacing w:before="120" w:line="300" w:lineRule="atLeast"/>
      </w:pPr>
      <w:r>
        <w:rPr>
          <w:rFonts w:ascii="Arial" w:eastAsia="Arial" w:hAnsi="Arial" w:cs="Arial"/>
          <w:color w:val="000000"/>
        </w:rPr>
        <w:t>Housing Discrimination Litigation, 28 Am. Jur. Trials 1</w:t>
      </w:r>
    </w:p>
    <w:p w:rsidR="007A6EB4" w:rsidRDefault="006F3363">
      <w:pPr>
        <w:spacing w:before="120" w:line="300" w:lineRule="atLeast"/>
      </w:pPr>
      <w:r>
        <w:rPr>
          <w:rFonts w:ascii="Arial" w:eastAsia="Arial" w:hAnsi="Arial" w:cs="Arial"/>
          <w:color w:val="000000"/>
        </w:rPr>
        <w:t>Am. Jur. Pleading and Practice Forms, Ci</w:t>
      </w:r>
      <w:r>
        <w:rPr>
          <w:rFonts w:ascii="Arial" w:eastAsia="Arial" w:hAnsi="Arial" w:cs="Arial"/>
          <w:color w:val="000000"/>
        </w:rPr>
        <w:t>vil Rights §§ 60 to 68</w:t>
      </w:r>
    </w:p>
    <w:p w:rsidR="007A6EB4" w:rsidRDefault="006F3363">
      <w:pPr>
        <w:spacing w:before="120" w:line="300" w:lineRule="atLeast"/>
      </w:pPr>
      <w:r>
        <w:rPr>
          <w:rFonts w:ascii="Arial" w:eastAsia="Arial" w:hAnsi="Arial" w:cs="Arial"/>
          <w:color w:val="000000"/>
        </w:rPr>
        <w:lastRenderedPageBreak/>
        <w:t>Florida Jur. Forms Legal and Business § 16A:323</w:t>
      </w:r>
    </w:p>
    <w:p w:rsidR="007A6EB4" w:rsidRDefault="006F3363">
      <w:pPr>
        <w:spacing w:before="120" w:line="300" w:lineRule="atLeast"/>
      </w:pPr>
      <w:r>
        <w:rPr>
          <w:rFonts w:ascii="Arial" w:eastAsia="Arial" w:hAnsi="Arial" w:cs="Arial"/>
          <w:color w:val="000000"/>
        </w:rPr>
        <w:t>West's Key Number Digest, Civil Rights [westkey]1075 to 1084, 1706, 1707</w:t>
      </w:r>
    </w:p>
    <w:p w:rsidR="007A6EB4" w:rsidRDefault="006F3363">
      <w:pPr>
        <w:spacing w:before="120" w:line="300" w:lineRule="atLeast"/>
      </w:pPr>
      <w:r>
        <w:rPr>
          <w:rFonts w:ascii="Arial" w:eastAsia="Arial" w:hAnsi="Arial" w:cs="Arial"/>
          <w:color w:val="000000"/>
        </w:rPr>
        <w:t>Landlord's Refusal to Rent to Unmarried Couple as Protected by Landlord's Religious Beliefs, 10 A.L.R.6th 513</w:t>
      </w:r>
    </w:p>
    <w:p w:rsidR="007A6EB4" w:rsidRDefault="006F3363">
      <w:pPr>
        <w:spacing w:before="120" w:line="300" w:lineRule="atLeast"/>
      </w:pPr>
      <w:r>
        <w:rPr>
          <w:rFonts w:ascii="Arial" w:eastAsia="Arial" w:hAnsi="Arial" w:cs="Arial"/>
          <w:color w:val="000000"/>
        </w:rPr>
        <w:t>Re</w:t>
      </w:r>
      <w:r>
        <w:rPr>
          <w:rFonts w:ascii="Arial" w:eastAsia="Arial" w:hAnsi="Arial" w:cs="Arial"/>
          <w:color w:val="000000"/>
        </w:rPr>
        <w:t>fusal to rent residential premises to persons with children as unlawful discrimination, 30 A.L.R.4th 1187</w:t>
      </w:r>
    </w:p>
    <w:p w:rsidR="007A6EB4" w:rsidRDefault="006F3363">
      <w:pPr>
        <w:spacing w:before="120" w:line="300" w:lineRule="atLeast"/>
      </w:pPr>
      <w:r>
        <w:rPr>
          <w:rFonts w:ascii="Arial" w:eastAsia="Arial" w:hAnsi="Arial" w:cs="Arial"/>
          <w:color w:val="000000"/>
        </w:rPr>
        <w:t>Construction and effect of state legislation forbidding discrimination in housing on account of physical handicap, 28 A.L.R.4th 685</w:t>
      </w:r>
    </w:p>
    <w:p w:rsidR="007A6EB4" w:rsidRDefault="006F3363">
      <w:pPr>
        <w:spacing w:before="120" w:line="300" w:lineRule="atLeast"/>
      </w:pPr>
      <w:r>
        <w:rPr>
          <w:rFonts w:ascii="Arial" w:eastAsia="Arial" w:hAnsi="Arial" w:cs="Arial"/>
          <w:color w:val="000000"/>
        </w:rPr>
        <w:t xml:space="preserve">State and </w:t>
      </w:r>
      <w:r>
        <w:rPr>
          <w:rFonts w:ascii="Arial" w:eastAsia="Arial" w:hAnsi="Arial" w:cs="Arial"/>
          <w:color w:val="000000"/>
        </w:rPr>
        <w:t>local fair housing laws. Housing Discrimination Litigation, 28 Am. Jur. Trials 1 § 2.5</w:t>
      </w:r>
    </w:p>
    <w:p w:rsidR="007A6EB4" w:rsidRDefault="006F3363">
      <w:pPr>
        <w:spacing w:before="120" w:line="300" w:lineRule="atLeast"/>
      </w:pPr>
      <w:r>
        <w:rPr>
          <w:rFonts w:ascii="Arial" w:eastAsia="Arial" w:hAnsi="Arial" w:cs="Arial"/>
          <w:color w:val="000000"/>
        </w:rPr>
        <w:t>Am. Jur. Pleading and Practice Forms, Civil Rights §§ 60 to 68 (Housing discrimination -- Complaints and defenses)</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238" style="position:absolute;z-index:25183436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Cases</w:t>
      </w:r>
    </w:p>
    <w:p w:rsidR="007A6EB4" w:rsidRDefault="006F3363">
      <w:pPr>
        <w:spacing w:before="60" w:line="300" w:lineRule="atLeast"/>
        <w:jc w:val="both"/>
      </w:pPr>
      <w:r>
        <w:rPr>
          <w:rFonts w:ascii="Arial" w:eastAsia="Arial" w:hAnsi="Arial" w:cs="Arial"/>
          <w:color w:val="000000"/>
        </w:rPr>
        <w:t>Tenant was required to have exhau</w:t>
      </w:r>
      <w:r>
        <w:rPr>
          <w:rFonts w:ascii="Arial" w:eastAsia="Arial" w:hAnsi="Arial" w:cs="Arial"/>
          <w:color w:val="000000"/>
        </w:rPr>
        <w:t>sted administrative remedies for the trial court to have subject matter jurisdiction over her Fair Housing Act (FHA) claim, which alleged discriminatory housing practices regarding landlord's denial of request for accommodation so that tenant could keep se</w:t>
      </w:r>
      <w:r>
        <w:rPr>
          <w:rFonts w:ascii="Arial" w:eastAsia="Arial" w:hAnsi="Arial" w:cs="Arial"/>
          <w:color w:val="000000"/>
        </w:rPr>
        <w:t>rvice dog. West's F.S.A. § 760.20 et seq. State, Dept. of Legal Affairs, Office of Atty. Gen. v. Leisure Village, Inc. of Stuart, 166 So. 3d 838 (Fla. 4th DCA 2015).</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39" style="position:absolute;left:0;text-align:left;z-index:251867136;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35"/>
          <w:headerReference w:type="default" r:id="rId236"/>
          <w:footerReference w:type="even" r:id="rId237"/>
          <w:footerReference w:type="default" r:id="rId238"/>
          <w:headerReference w:type="first" r:id="rId239"/>
          <w:footerReference w:type="first" r:id="rId240"/>
          <w:pgSz w:w="12240" w:h="15840"/>
          <w:pgMar w:top="840" w:right="1000" w:bottom="840" w:left="1000" w:header="400" w:footer="400" w:gutter="0"/>
          <w:cols w:space="720"/>
          <w:titlePg/>
        </w:sectPr>
      </w:pPr>
    </w:p>
    <w:p w:rsidR="007A6EB4" w:rsidRDefault="007A6EB4">
      <w:bookmarkStart w:id="39" w:name="Bookmark_39"/>
      <w:bookmarkEnd w:id="39"/>
    </w:p>
    <w:p w:rsidR="007A6EB4" w:rsidRDefault="006F3363">
      <w:r>
        <w:pict>
          <v:shape id="_x0000_i1063"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38</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C. Discrimination in Housing</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41" style="position:absolute;z-index:25169715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38 Administrative and civil action remedies</w:t>
      </w:r>
    </w:p>
    <w:p w:rsidR="007A6EB4" w:rsidRDefault="006F3363">
      <w:pPr>
        <w:spacing w:line="60" w:lineRule="exact"/>
      </w:pPr>
      <w:r>
        <w:pict>
          <v:line id="_x0000_s1242" style="position:absolute;z-index:25174323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Aggrieved individuals, which include those who claim to have been injured by a discriminatory housing practice or who believe that they will be injured by a </w:t>
      </w:r>
      <w:r>
        <w:rPr>
          <w:rFonts w:ascii="Arial" w:eastAsia="Arial" w:hAnsi="Arial" w:cs="Arial"/>
          <w:color w:val="000000"/>
        </w:rPr>
        <w:t>discriminatory housing practice that is about to occur, are given the option of pursuing a complaint through the Commission on Human Relations</w:t>
      </w:r>
      <w:r>
        <w:rPr>
          <w:rFonts w:ascii="Arial" w:eastAsia="Arial" w:hAnsi="Arial" w:cs="Arial"/>
          <w:vertAlign w:val="superscript"/>
        </w:rPr>
        <w:footnoteReference w:customMarkFollows="1" w:id="328"/>
        <w:t>n1</w:t>
      </w:r>
      <w:r>
        <w:rPr>
          <w:rFonts w:ascii="Arial" w:eastAsia="Arial" w:hAnsi="Arial" w:cs="Arial"/>
          <w:color w:val="000000"/>
        </w:rPr>
        <w:t xml:space="preserve"> or by way of a private civil action.</w:t>
      </w:r>
      <w:r>
        <w:rPr>
          <w:rFonts w:ascii="Arial" w:eastAsia="Arial" w:hAnsi="Arial" w:cs="Arial"/>
          <w:vertAlign w:val="superscript"/>
        </w:rPr>
        <w:footnoteReference w:customMarkFollows="1" w:id="329"/>
        <w:t>n2</w:t>
      </w:r>
      <w:r>
        <w:rPr>
          <w:rFonts w:ascii="Arial" w:eastAsia="Arial" w:hAnsi="Arial" w:cs="Arial"/>
          <w:color w:val="000000"/>
        </w:rPr>
        <w:t xml:space="preserve"> A complaint with the Commission must be filed within one year after the </w:t>
      </w:r>
      <w:r>
        <w:rPr>
          <w:rFonts w:ascii="Arial" w:eastAsia="Arial" w:hAnsi="Arial" w:cs="Arial"/>
          <w:color w:val="000000"/>
        </w:rPr>
        <w:t>alleged discriminatory housing practice occurred and must be in writing.</w:t>
      </w:r>
      <w:r>
        <w:rPr>
          <w:rFonts w:ascii="Arial" w:eastAsia="Arial" w:hAnsi="Arial" w:cs="Arial"/>
          <w:vertAlign w:val="superscript"/>
        </w:rPr>
        <w:footnoteReference w:customMarkFollows="1" w:id="330"/>
        <w:t>n3</w:t>
      </w:r>
      <w:r>
        <w:rPr>
          <w:rFonts w:ascii="Arial" w:eastAsia="Arial" w:hAnsi="Arial" w:cs="Arial"/>
          <w:color w:val="000000"/>
        </w:rPr>
        <w:t xml:space="preserve"> If the Commission decides to resolve the complaint, it must proceed to try to eliminate or correct the alleged discrimination by informal methods of conference, conciliation, and pe</w:t>
      </w:r>
      <w:r>
        <w:rPr>
          <w:rFonts w:ascii="Arial" w:eastAsia="Arial" w:hAnsi="Arial" w:cs="Arial"/>
          <w:color w:val="000000"/>
        </w:rPr>
        <w:t>rsuasion with nothing said or done in the course of such endeavors being made public or used in subsequent proceedings.</w:t>
      </w:r>
      <w:r>
        <w:rPr>
          <w:rFonts w:ascii="Arial" w:eastAsia="Arial" w:hAnsi="Arial" w:cs="Arial"/>
          <w:vertAlign w:val="superscript"/>
        </w:rPr>
        <w:footnoteReference w:customMarkFollows="1" w:id="331"/>
        <w:t>n4</w:t>
      </w:r>
    </w:p>
    <w:p w:rsidR="007A6EB4" w:rsidRDefault="006F3363">
      <w:pPr>
        <w:spacing w:before="200" w:line="300" w:lineRule="atLeast"/>
        <w:jc w:val="both"/>
      </w:pPr>
      <w:r>
        <w:rPr>
          <w:rFonts w:ascii="Arial" w:eastAsia="Arial" w:hAnsi="Arial" w:cs="Arial"/>
          <w:color w:val="000000"/>
        </w:rPr>
        <w:t xml:space="preserve">Observation: In order to establish that a plaintiff is an "aggrieved person," entitled to sue under the Florida Fair Housing Act, the </w:t>
      </w:r>
      <w:r>
        <w:rPr>
          <w:rFonts w:ascii="Arial" w:eastAsia="Arial" w:hAnsi="Arial" w:cs="Arial"/>
          <w:color w:val="000000"/>
        </w:rPr>
        <w:t xml:space="preserve">plaintiff must demonstrate that (1) it has suffered a concrete injury in fact or one that is actual and imminent, (2) the injury was fairly traceable to the defendant's allegedly illegal actions, and (3) it is likely that the injury will be redressed by a </w:t>
      </w:r>
      <w:r>
        <w:rPr>
          <w:rFonts w:ascii="Arial" w:eastAsia="Arial" w:hAnsi="Arial" w:cs="Arial"/>
          <w:color w:val="000000"/>
        </w:rPr>
        <w:t>favorable decision.</w:t>
      </w:r>
      <w:r>
        <w:rPr>
          <w:rFonts w:ascii="Arial" w:eastAsia="Arial" w:hAnsi="Arial" w:cs="Arial"/>
          <w:vertAlign w:val="superscript"/>
        </w:rPr>
        <w:footnoteReference w:customMarkFollows="1" w:id="332"/>
        <w:t>n5</w:t>
      </w:r>
    </w:p>
    <w:p w:rsidR="007A6EB4" w:rsidRDefault="006F3363">
      <w:pPr>
        <w:spacing w:before="200" w:line="300" w:lineRule="atLeast"/>
        <w:jc w:val="both"/>
      </w:pPr>
      <w:r>
        <w:rPr>
          <w:rFonts w:ascii="Arial" w:eastAsia="Arial" w:hAnsi="Arial" w:cs="Arial"/>
          <w:color w:val="000000"/>
        </w:rPr>
        <w:t>If the Commission is unable to obtain voluntary compliance with the Fair Housing Act or has reasonable cause to believe that a discriminatory practice has occurred: (1) the Commission may institute an administrative proceeding; or (2)</w:t>
      </w:r>
      <w:r>
        <w:rPr>
          <w:rFonts w:ascii="Arial" w:eastAsia="Arial" w:hAnsi="Arial" w:cs="Arial"/>
          <w:color w:val="000000"/>
        </w:rPr>
        <w:t xml:space="preserve"> the person aggrieved may request </w:t>
      </w:r>
      <w:r>
        <w:rPr>
          <w:rFonts w:ascii="Arial" w:eastAsia="Arial" w:hAnsi="Arial" w:cs="Arial"/>
          <w:color w:val="000000"/>
        </w:rPr>
        <w:lastRenderedPageBreak/>
        <w:t>administrative relief within 30 days after receiving notice that the Commission has concluded its investigation.</w:t>
      </w:r>
      <w:r>
        <w:rPr>
          <w:rFonts w:ascii="Arial" w:eastAsia="Arial" w:hAnsi="Arial" w:cs="Arial"/>
          <w:vertAlign w:val="superscript"/>
        </w:rPr>
        <w:footnoteReference w:customMarkFollows="1" w:id="333"/>
        <w:t>n6</w:t>
      </w:r>
    </w:p>
    <w:p w:rsidR="007A6EB4" w:rsidRDefault="006F3363">
      <w:pPr>
        <w:spacing w:before="200" w:line="300" w:lineRule="atLeast"/>
        <w:jc w:val="both"/>
      </w:pPr>
      <w:r>
        <w:rPr>
          <w:rFonts w:ascii="Arial" w:eastAsia="Arial" w:hAnsi="Arial" w:cs="Arial"/>
          <w:color w:val="000000"/>
        </w:rPr>
        <w:t>Exhaustion of administrative remedies before the Commission is a statutory prerequisite for filing civil su</w:t>
      </w:r>
      <w:r>
        <w:rPr>
          <w:rFonts w:ascii="Arial" w:eastAsia="Arial" w:hAnsi="Arial" w:cs="Arial"/>
          <w:color w:val="000000"/>
        </w:rPr>
        <w:t>it for discrimination in housing under the Fair Housing Act.</w:t>
      </w:r>
      <w:r>
        <w:rPr>
          <w:rFonts w:ascii="Arial" w:eastAsia="Arial" w:hAnsi="Arial" w:cs="Arial"/>
          <w:vertAlign w:val="superscript"/>
        </w:rPr>
        <w:footnoteReference w:customMarkFollows="1" w:id="334"/>
        <w:t>n7</w:t>
      </w:r>
    </w:p>
    <w:p w:rsidR="007A6EB4" w:rsidRDefault="006F3363">
      <w:pPr>
        <w:spacing w:before="200" w:line="300" w:lineRule="atLeast"/>
        <w:jc w:val="both"/>
      </w:pPr>
      <w:r>
        <w:rPr>
          <w:rFonts w:ascii="Arial" w:eastAsia="Arial" w:hAnsi="Arial" w:cs="Arial"/>
          <w:color w:val="000000"/>
        </w:rPr>
        <w:t>A civil action must be commenced no later than two years after an alleged discriminatory housing practice has occurred.</w:t>
      </w:r>
      <w:r>
        <w:rPr>
          <w:rFonts w:ascii="Arial" w:eastAsia="Arial" w:hAnsi="Arial" w:cs="Arial"/>
          <w:vertAlign w:val="superscript"/>
        </w:rPr>
        <w:footnoteReference w:customMarkFollows="1" w:id="335"/>
        <w:t>n8</w:t>
      </w:r>
      <w:r>
        <w:rPr>
          <w:rFonts w:ascii="Arial" w:eastAsia="Arial" w:hAnsi="Arial" w:cs="Arial"/>
          <w:color w:val="000000"/>
        </w:rPr>
        <w:t xml:space="preserve"> Attorney's fees and specified punitive damages are recoverable in priva</w:t>
      </w:r>
      <w:r>
        <w:rPr>
          <w:rFonts w:ascii="Arial" w:eastAsia="Arial" w:hAnsi="Arial" w:cs="Arial"/>
          <w:color w:val="000000"/>
        </w:rPr>
        <w:t>te actions in addition to actual damages and appropriate injunctive relief.</w:t>
      </w:r>
      <w:r>
        <w:rPr>
          <w:rFonts w:ascii="Arial" w:eastAsia="Arial" w:hAnsi="Arial" w:cs="Arial"/>
          <w:vertAlign w:val="superscript"/>
        </w:rPr>
        <w:footnoteReference w:customMarkFollows="1" w:id="336"/>
        <w:t>n9</w:t>
      </w:r>
    </w:p>
    <w:p w:rsidR="007A6EB4" w:rsidRDefault="006F3363">
      <w:pPr>
        <w:spacing w:before="200" w:line="300" w:lineRule="atLeast"/>
        <w:jc w:val="both"/>
      </w:pPr>
      <w:r>
        <w:rPr>
          <w:rFonts w:ascii="Arial" w:eastAsia="Arial" w:hAnsi="Arial" w:cs="Arial"/>
          <w:color w:val="000000"/>
        </w:rPr>
        <w:t>It is unlawful to coerce, intimidate, threaten, or interfere with any person in the exercise of any right under the Fair Housing Act.</w:t>
      </w:r>
      <w:r>
        <w:rPr>
          <w:rFonts w:ascii="Arial" w:eastAsia="Arial" w:hAnsi="Arial" w:cs="Arial"/>
          <w:vertAlign w:val="superscript"/>
        </w:rPr>
        <w:footnoteReference w:customMarkFollows="1" w:id="337"/>
        <w:t>n10</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43" style="position:absolute;z-index:25178931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w:t>
      </w:r>
      <w:r>
        <w:rPr>
          <w:rFonts w:ascii="Arial" w:eastAsia="Arial" w:hAnsi="Arial" w:cs="Arial"/>
          <w:color w:val="000000"/>
        </w:rPr>
        <w:t>ivil Rights [westkey]1024, 1075 to 1084, 1706 to 1709, 1717, 1731, 1808</w:t>
      </w:r>
    </w:p>
    <w:p w:rsidR="007A6EB4" w:rsidRDefault="006F3363">
      <w:pPr>
        <w:spacing w:before="120" w:line="300" w:lineRule="atLeast"/>
      </w:pPr>
      <w:r>
        <w:rPr>
          <w:rFonts w:ascii="Arial" w:eastAsia="Arial" w:hAnsi="Arial" w:cs="Arial"/>
          <w:color w:val="000000"/>
        </w:rPr>
        <w:t>A.L.R. Index, Apartments and Apartment Houses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Fair Housing Act</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West's A.L.R. Digest, Civ</w:t>
      </w:r>
      <w:r>
        <w:rPr>
          <w:rFonts w:ascii="Arial" w:eastAsia="Arial" w:hAnsi="Arial" w:cs="Arial"/>
          <w:color w:val="000000"/>
        </w:rPr>
        <w:t>il Rights [westkey]1024, 1075 to 1084, 1706 to 1709, 1717, 1731, 1808</w:t>
      </w:r>
    </w:p>
    <w:p w:rsidR="007A6EB4" w:rsidRDefault="006F3363">
      <w:pPr>
        <w:spacing w:before="120" w:line="300" w:lineRule="atLeast"/>
      </w:pPr>
      <w:r>
        <w:rPr>
          <w:rFonts w:ascii="Arial" w:eastAsia="Arial" w:hAnsi="Arial" w:cs="Arial"/>
          <w:color w:val="000000"/>
        </w:rPr>
        <w:t>Am. Jur. 2d, Civil Rights §§ 390 to 529</w:t>
      </w:r>
    </w:p>
    <w:p w:rsidR="007A6EB4" w:rsidRDefault="006F3363">
      <w:pPr>
        <w:spacing w:before="120" w:line="300" w:lineRule="atLeast"/>
      </w:pPr>
      <w:r>
        <w:rPr>
          <w:rFonts w:ascii="Arial" w:eastAsia="Arial" w:hAnsi="Arial" w:cs="Arial"/>
          <w:color w:val="000000"/>
        </w:rPr>
        <w:t>C.J.S., Civil Rights §§ 127 to 133</w:t>
      </w:r>
    </w:p>
    <w:p w:rsidR="007A6EB4" w:rsidRDefault="006F3363">
      <w:pPr>
        <w:spacing w:before="120" w:line="300" w:lineRule="atLeast"/>
      </w:pPr>
      <w:r>
        <w:rPr>
          <w:rFonts w:ascii="Arial" w:eastAsia="Arial" w:hAnsi="Arial" w:cs="Arial"/>
          <w:color w:val="000000"/>
        </w:rPr>
        <w:t>Proof of Housing Discrimination Against a Prospective Tenant on Account of Race or National Origin, 93 Am. Jur.</w:t>
      </w:r>
      <w:r>
        <w:rPr>
          <w:rFonts w:ascii="Arial" w:eastAsia="Arial" w:hAnsi="Arial" w:cs="Arial"/>
          <w:color w:val="000000"/>
        </w:rPr>
        <w:t xml:space="preserve"> Proof of Facts 3d 415</w:t>
      </w:r>
    </w:p>
    <w:p w:rsidR="007A6EB4" w:rsidRDefault="006F3363">
      <w:pPr>
        <w:spacing w:before="120" w:line="300" w:lineRule="atLeast"/>
      </w:pPr>
      <w:r>
        <w:rPr>
          <w:rFonts w:ascii="Arial" w:eastAsia="Arial" w:hAnsi="Arial" w:cs="Arial"/>
          <w:color w:val="000000"/>
        </w:rPr>
        <w:t>Discrimination on the Basis of Handicap Under the Fair Housing Act, 23 Am. Jur. Proof of Facts 3d 499</w:t>
      </w:r>
    </w:p>
    <w:p w:rsidR="007A6EB4" w:rsidRDefault="006F3363">
      <w:pPr>
        <w:spacing w:before="120" w:line="300" w:lineRule="atLeast"/>
      </w:pPr>
      <w:r>
        <w:rPr>
          <w:rFonts w:ascii="Arial" w:eastAsia="Arial" w:hAnsi="Arial" w:cs="Arial"/>
          <w:color w:val="000000"/>
        </w:rPr>
        <w:t>Racial Discrimination in Sale of Real Estate, 14 Am. Jur. Proof of Facts 2d 511</w:t>
      </w:r>
    </w:p>
    <w:p w:rsidR="007A6EB4" w:rsidRDefault="006F3363">
      <w:pPr>
        <w:spacing w:before="120" w:line="300" w:lineRule="atLeast"/>
      </w:pPr>
      <w:r>
        <w:rPr>
          <w:rFonts w:ascii="Arial" w:eastAsia="Arial" w:hAnsi="Arial" w:cs="Arial"/>
          <w:color w:val="000000"/>
        </w:rPr>
        <w:t>Housing Discrimination Litigation, 28 Am. Jur. Tria</w:t>
      </w:r>
      <w:r>
        <w:rPr>
          <w:rFonts w:ascii="Arial" w:eastAsia="Arial" w:hAnsi="Arial" w:cs="Arial"/>
          <w:color w:val="000000"/>
        </w:rPr>
        <w:t>ls 1</w:t>
      </w:r>
    </w:p>
    <w:p w:rsidR="007A6EB4" w:rsidRDefault="006F3363">
      <w:pPr>
        <w:spacing w:before="120" w:line="300" w:lineRule="atLeast"/>
      </w:pPr>
      <w:r>
        <w:rPr>
          <w:rFonts w:ascii="Arial" w:eastAsia="Arial" w:hAnsi="Arial" w:cs="Arial"/>
          <w:color w:val="000000"/>
        </w:rPr>
        <w:t>Am. Jur. Pleading and Practice Forms, Civil Rights §§ 60 to 68</w:t>
      </w:r>
    </w:p>
    <w:p w:rsidR="007A6EB4" w:rsidRDefault="006F3363">
      <w:pPr>
        <w:spacing w:before="120" w:line="300" w:lineRule="atLeast"/>
      </w:pPr>
      <w:r>
        <w:rPr>
          <w:rFonts w:ascii="Arial" w:eastAsia="Arial" w:hAnsi="Arial" w:cs="Arial"/>
          <w:color w:val="000000"/>
        </w:rPr>
        <w:t>Florida Jur. Forms Legal and Business § 16A:323</w:t>
      </w:r>
    </w:p>
    <w:p w:rsidR="007A6EB4" w:rsidRDefault="006F3363">
      <w:pPr>
        <w:spacing w:before="120" w:line="300" w:lineRule="atLeast"/>
      </w:pPr>
      <w:r>
        <w:rPr>
          <w:rFonts w:ascii="Arial" w:eastAsia="Arial" w:hAnsi="Arial" w:cs="Arial"/>
          <w:color w:val="000000"/>
        </w:rPr>
        <w:t>West's Key Number Digest, Civil Rights [westkey]1075, 1706 to 1709, 1717, 1731</w:t>
      </w:r>
    </w:p>
    <w:p w:rsidR="007A6EB4" w:rsidRDefault="006F3363">
      <w:pPr>
        <w:spacing w:before="120" w:line="300" w:lineRule="atLeast"/>
      </w:pPr>
      <w:r>
        <w:rPr>
          <w:rFonts w:ascii="Arial" w:eastAsia="Arial" w:hAnsi="Arial" w:cs="Arial"/>
          <w:color w:val="000000"/>
        </w:rPr>
        <w:lastRenderedPageBreak/>
        <w:t xml:space="preserve">Proof of Housing Discrimination Against a </w:t>
      </w:r>
      <w:r>
        <w:rPr>
          <w:rFonts w:ascii="Arial" w:eastAsia="Arial" w:hAnsi="Arial" w:cs="Arial"/>
          <w:color w:val="000000"/>
        </w:rPr>
        <w:t>Prospective Tenant on Account of Race or National Origin, 93 Am. Jur. Proof of Facts 3d 415</w:t>
      </w:r>
    </w:p>
    <w:p w:rsidR="007A6EB4" w:rsidRDefault="006F3363">
      <w:pPr>
        <w:spacing w:before="120" w:line="300" w:lineRule="atLeast"/>
      </w:pPr>
      <w:r>
        <w:rPr>
          <w:rFonts w:ascii="Arial" w:eastAsia="Arial" w:hAnsi="Arial" w:cs="Arial"/>
          <w:color w:val="000000"/>
        </w:rPr>
        <w:t>Proof of refusal to sell property because of racial discrimination. Racial Discrimination in Sale of Real Estate, 14 Am. Jur. Proof of Facts 2d 511 §§ 17 to 29</w:t>
      </w:r>
    </w:p>
    <w:p w:rsidR="007A6EB4" w:rsidRDefault="006F3363">
      <w:pPr>
        <w:spacing w:before="240" w:line="300" w:lineRule="atLeast"/>
      </w:pPr>
      <w:r>
        <w:br/>
      </w:r>
      <w:r>
        <w:rPr>
          <w:rFonts w:ascii="Arial" w:eastAsia="Arial" w:hAnsi="Arial" w:cs="Arial"/>
          <w:b/>
          <w:color w:val="000000"/>
        </w:rPr>
        <w:t>Sou</w:t>
      </w:r>
      <w:r>
        <w:rPr>
          <w:rFonts w:ascii="Arial" w:eastAsia="Arial" w:hAnsi="Arial" w:cs="Arial"/>
          <w:b/>
          <w:color w:val="000000"/>
        </w:rPr>
        <w:t>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44" style="position:absolute;left:0;text-align:left;z-index:251835392;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41"/>
          <w:headerReference w:type="default" r:id="rId242"/>
          <w:footerReference w:type="even" r:id="rId243"/>
          <w:footerReference w:type="default" r:id="rId244"/>
          <w:headerReference w:type="first" r:id="rId245"/>
          <w:footerReference w:type="first" r:id="rId246"/>
          <w:pgSz w:w="12240" w:h="15840"/>
          <w:pgMar w:top="840" w:right="1000" w:bottom="840" w:left="1000" w:header="400" w:footer="400" w:gutter="0"/>
          <w:cols w:space="720"/>
          <w:titlePg/>
        </w:sectPr>
      </w:pPr>
    </w:p>
    <w:p w:rsidR="007A6EB4" w:rsidRDefault="007A6EB4">
      <w:bookmarkStart w:id="40" w:name="Bookmark_40"/>
      <w:bookmarkEnd w:id="40"/>
    </w:p>
    <w:p w:rsidR="007A6EB4" w:rsidRDefault="006F3363">
      <w:r>
        <w:pict>
          <v:shape id="_x0000_i1064"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39</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C. Discrimination in Housing</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46" style="position:absolute;z-index:25169817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39 Housing rights of physically disabled persons</w:t>
      </w:r>
    </w:p>
    <w:p w:rsidR="007A6EB4" w:rsidRDefault="006F3363">
      <w:pPr>
        <w:spacing w:line="60" w:lineRule="exact"/>
      </w:pPr>
      <w:r>
        <w:pict>
          <v:line id="_x0000_s1247" style="position:absolute;z-index:25174425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An individual with a disability is entitled to rent, lease, or purchase, as other members of </w:t>
      </w:r>
      <w:r>
        <w:rPr>
          <w:rFonts w:ascii="Arial" w:eastAsia="Arial" w:hAnsi="Arial" w:cs="Arial"/>
          <w:color w:val="000000"/>
        </w:rPr>
        <w:t>the general public, any housing accommodations offered for rent, lease, or other compensation in this state, subject to the conditions and limitations established by law and applicable alike to all persons.</w:t>
      </w:r>
      <w:r>
        <w:rPr>
          <w:rFonts w:ascii="Arial" w:eastAsia="Arial" w:hAnsi="Arial" w:cs="Arial"/>
          <w:vertAlign w:val="superscript"/>
        </w:rPr>
        <w:footnoteReference w:customMarkFollows="1" w:id="338"/>
        <w:t>n1</w:t>
      </w:r>
      <w:r>
        <w:rPr>
          <w:rFonts w:ascii="Arial" w:eastAsia="Arial" w:hAnsi="Arial" w:cs="Arial"/>
          <w:color w:val="000000"/>
        </w:rPr>
        <w:t xml:space="preserve"> An individual with a disability who has a servi</w:t>
      </w:r>
      <w:r>
        <w:rPr>
          <w:rFonts w:ascii="Arial" w:eastAsia="Arial" w:hAnsi="Arial" w:cs="Arial"/>
          <w:color w:val="000000"/>
        </w:rPr>
        <w:t>ce animal or who obtains a service animal is entitled to full and equal access to all housing accommodations, and such a person may not be required to pay extra compensation for the service animal. However, such a person is liable for any damage done to th</w:t>
      </w:r>
      <w:r>
        <w:rPr>
          <w:rFonts w:ascii="Arial" w:eastAsia="Arial" w:hAnsi="Arial" w:cs="Arial"/>
          <w:color w:val="000000"/>
        </w:rPr>
        <w:t>e premises or to another person on the premises by such an animal, and a housing accommodation may request proof of compliance with vaccination requirements.</w:t>
      </w:r>
      <w:r>
        <w:rPr>
          <w:rFonts w:ascii="Arial" w:eastAsia="Arial" w:hAnsi="Arial" w:cs="Arial"/>
          <w:vertAlign w:val="superscript"/>
        </w:rPr>
        <w:footnoteReference w:customMarkFollows="1" w:id="339"/>
        <w:t>n2</w:t>
      </w:r>
      <w:r>
        <w:rPr>
          <w:rFonts w:ascii="Arial" w:eastAsia="Arial" w:hAnsi="Arial" w:cs="Arial"/>
          <w:color w:val="000000"/>
        </w:rPr>
        <w:t xml:space="preserve"> The statute specifically excepts from the term "housing accommodation" any single-family residen</w:t>
      </w:r>
      <w:r>
        <w:rPr>
          <w:rFonts w:ascii="Arial" w:eastAsia="Arial" w:hAnsi="Arial" w:cs="Arial"/>
          <w:color w:val="000000"/>
        </w:rPr>
        <w:t>ce, the occupants of which rent, lease, or furnish for compensation not more than one room therein.</w:t>
      </w:r>
      <w:r>
        <w:rPr>
          <w:rFonts w:ascii="Arial" w:eastAsia="Arial" w:hAnsi="Arial" w:cs="Arial"/>
          <w:vertAlign w:val="superscript"/>
        </w:rPr>
        <w:footnoteReference w:customMarkFollows="1" w:id="340"/>
        <w:t>n3</w:t>
      </w:r>
      <w:r>
        <w:rPr>
          <w:rFonts w:ascii="Arial" w:eastAsia="Arial" w:hAnsi="Arial" w:cs="Arial"/>
          <w:color w:val="000000"/>
        </w:rPr>
        <w:t xml:space="preserve"> However, any person renting, leasing, or otherwise providing real property for compensation is not required to modify her or his property in any way or pr</w:t>
      </w:r>
      <w:r>
        <w:rPr>
          <w:rFonts w:ascii="Arial" w:eastAsia="Arial" w:hAnsi="Arial" w:cs="Arial"/>
          <w:color w:val="000000"/>
        </w:rPr>
        <w:t>ovide a higher degree of care for an individual with a disability than for a person who is not disabled.</w:t>
      </w:r>
      <w:r>
        <w:rPr>
          <w:rFonts w:ascii="Arial" w:eastAsia="Arial" w:hAnsi="Arial" w:cs="Arial"/>
          <w:vertAlign w:val="superscript"/>
        </w:rPr>
        <w:footnoteReference w:customMarkFollows="1" w:id="341"/>
        <w:t>n4</w:t>
      </w:r>
    </w:p>
    <w:p w:rsidR="007A6EB4" w:rsidRDefault="006F3363">
      <w:pPr>
        <w:spacing w:before="200" w:line="300" w:lineRule="atLeast"/>
        <w:jc w:val="both"/>
      </w:pPr>
      <w:r>
        <w:rPr>
          <w:rFonts w:ascii="Arial" w:eastAsia="Arial" w:hAnsi="Arial" w:cs="Arial"/>
          <w:color w:val="000000"/>
        </w:rPr>
        <w:t>Interference with these rights constitutes a second-degree misdemeanor.</w:t>
      </w:r>
      <w:r>
        <w:rPr>
          <w:rFonts w:ascii="Arial" w:eastAsia="Arial" w:hAnsi="Arial" w:cs="Arial"/>
          <w:vertAlign w:val="superscript"/>
        </w:rPr>
        <w:footnoteReference w:customMarkFollows="1" w:id="342"/>
        <w:t>n5</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48" style="position:absolute;z-index:25179033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[westkey]1024, 1075 to</w:t>
      </w:r>
      <w:r>
        <w:rPr>
          <w:rFonts w:ascii="Arial" w:eastAsia="Arial" w:hAnsi="Arial" w:cs="Arial"/>
          <w:color w:val="000000"/>
        </w:rPr>
        <w:t xml:space="preserve"> 1084, 1706 to 1709, 1717, 1731, 1808</w:t>
      </w:r>
    </w:p>
    <w:p w:rsidR="007A6EB4" w:rsidRDefault="006F3363">
      <w:pPr>
        <w:spacing w:before="120" w:line="300" w:lineRule="atLeast"/>
      </w:pPr>
      <w:r>
        <w:rPr>
          <w:rFonts w:ascii="Arial" w:eastAsia="Arial" w:hAnsi="Arial" w:cs="Arial"/>
          <w:color w:val="000000"/>
        </w:rPr>
        <w:lastRenderedPageBreak/>
        <w:t>A.L.R. Index, Apartments and Apartment Houses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Fair Housing Act</w:t>
      </w:r>
    </w:p>
    <w:p w:rsidR="007A6EB4" w:rsidRDefault="006F3363">
      <w:pPr>
        <w:spacing w:before="120" w:line="300" w:lineRule="atLeast"/>
      </w:pPr>
      <w:r>
        <w:rPr>
          <w:rFonts w:ascii="Arial" w:eastAsia="Arial" w:hAnsi="Arial" w:cs="Arial"/>
          <w:color w:val="000000"/>
        </w:rPr>
        <w:t>A.L.R. Index, Racial Discrimination</w:t>
      </w:r>
    </w:p>
    <w:p w:rsidR="007A6EB4" w:rsidRDefault="006F3363">
      <w:pPr>
        <w:spacing w:before="120" w:line="300" w:lineRule="atLeast"/>
      </w:pPr>
      <w:r>
        <w:rPr>
          <w:rFonts w:ascii="Arial" w:eastAsia="Arial" w:hAnsi="Arial" w:cs="Arial"/>
          <w:color w:val="000000"/>
        </w:rPr>
        <w:t xml:space="preserve">West's A.L.R. Digest, Civil Rights </w:t>
      </w:r>
      <w:r>
        <w:rPr>
          <w:rFonts w:ascii="Arial" w:eastAsia="Arial" w:hAnsi="Arial" w:cs="Arial"/>
          <w:color w:val="000000"/>
        </w:rPr>
        <w:t>[westkey]1024, 1075 to 1084, 1706 to 1709, 1717, 1731, 1808</w:t>
      </w:r>
    </w:p>
    <w:p w:rsidR="007A6EB4" w:rsidRDefault="006F3363">
      <w:pPr>
        <w:spacing w:before="120" w:line="300" w:lineRule="atLeast"/>
      </w:pPr>
      <w:r>
        <w:rPr>
          <w:rFonts w:ascii="Arial" w:eastAsia="Arial" w:hAnsi="Arial" w:cs="Arial"/>
          <w:color w:val="000000"/>
        </w:rPr>
        <w:t>Am. Jur. 2d, Civil Rights §§ 390 to 529</w:t>
      </w:r>
    </w:p>
    <w:p w:rsidR="007A6EB4" w:rsidRDefault="006F3363">
      <w:pPr>
        <w:spacing w:before="120" w:line="300" w:lineRule="atLeast"/>
      </w:pPr>
      <w:r>
        <w:rPr>
          <w:rFonts w:ascii="Arial" w:eastAsia="Arial" w:hAnsi="Arial" w:cs="Arial"/>
          <w:color w:val="000000"/>
        </w:rPr>
        <w:t>C.J.S., Civil Rights §§ 127 to 133</w:t>
      </w:r>
    </w:p>
    <w:p w:rsidR="007A6EB4" w:rsidRDefault="006F3363">
      <w:pPr>
        <w:spacing w:before="120" w:line="300" w:lineRule="atLeast"/>
      </w:pPr>
      <w:r>
        <w:rPr>
          <w:rFonts w:ascii="Arial" w:eastAsia="Arial" w:hAnsi="Arial" w:cs="Arial"/>
          <w:color w:val="000000"/>
        </w:rPr>
        <w:t xml:space="preserve">Proof of Housing Discrimination Against a Prospective Tenant on Account of Race or National Origin, 93 Am. Jur. </w:t>
      </w:r>
      <w:r>
        <w:rPr>
          <w:rFonts w:ascii="Arial" w:eastAsia="Arial" w:hAnsi="Arial" w:cs="Arial"/>
          <w:color w:val="000000"/>
        </w:rPr>
        <w:t>Proof of Facts 3d 415</w:t>
      </w:r>
    </w:p>
    <w:p w:rsidR="007A6EB4" w:rsidRDefault="006F3363">
      <w:pPr>
        <w:spacing w:before="120" w:line="300" w:lineRule="atLeast"/>
      </w:pPr>
      <w:r>
        <w:rPr>
          <w:rFonts w:ascii="Arial" w:eastAsia="Arial" w:hAnsi="Arial" w:cs="Arial"/>
          <w:color w:val="000000"/>
        </w:rPr>
        <w:t>Discrimination on the Basis of Handicap Under the Fair Housing Act, 23 Am. Jur. Proof of Facts 3d 499</w:t>
      </w:r>
    </w:p>
    <w:p w:rsidR="007A6EB4" w:rsidRDefault="006F3363">
      <w:pPr>
        <w:spacing w:before="120" w:line="300" w:lineRule="atLeast"/>
      </w:pPr>
      <w:r>
        <w:rPr>
          <w:rFonts w:ascii="Arial" w:eastAsia="Arial" w:hAnsi="Arial" w:cs="Arial"/>
          <w:color w:val="000000"/>
        </w:rPr>
        <w:t>Racial Discrimination in Sale of Real Estate, 14 Am. Jur. Proof of Facts 2d 511</w:t>
      </w:r>
    </w:p>
    <w:p w:rsidR="007A6EB4" w:rsidRDefault="006F3363">
      <w:pPr>
        <w:spacing w:before="120" w:line="300" w:lineRule="atLeast"/>
      </w:pPr>
      <w:r>
        <w:rPr>
          <w:rFonts w:ascii="Arial" w:eastAsia="Arial" w:hAnsi="Arial" w:cs="Arial"/>
          <w:color w:val="000000"/>
        </w:rPr>
        <w:t>Housing Discrimination Litigation, 28 Am. Jur. Trial</w:t>
      </w:r>
      <w:r>
        <w:rPr>
          <w:rFonts w:ascii="Arial" w:eastAsia="Arial" w:hAnsi="Arial" w:cs="Arial"/>
          <w:color w:val="000000"/>
        </w:rPr>
        <w:t>s 1</w:t>
      </w:r>
    </w:p>
    <w:p w:rsidR="007A6EB4" w:rsidRDefault="006F3363">
      <w:pPr>
        <w:spacing w:before="120" w:line="300" w:lineRule="atLeast"/>
      </w:pPr>
      <w:r>
        <w:rPr>
          <w:rFonts w:ascii="Arial" w:eastAsia="Arial" w:hAnsi="Arial" w:cs="Arial"/>
          <w:color w:val="000000"/>
        </w:rPr>
        <w:t>Am. Jur. Pleading and Practice Forms, Civil Rights §§ 60 to 68</w:t>
      </w:r>
    </w:p>
    <w:p w:rsidR="007A6EB4" w:rsidRDefault="006F3363">
      <w:pPr>
        <w:spacing w:before="120" w:line="300" w:lineRule="atLeast"/>
      </w:pPr>
      <w:r>
        <w:rPr>
          <w:rFonts w:ascii="Arial" w:eastAsia="Arial" w:hAnsi="Arial" w:cs="Arial"/>
          <w:color w:val="000000"/>
        </w:rPr>
        <w:t>Florida Jur. Forms Legal and Business § 16A:323</w:t>
      </w:r>
    </w:p>
    <w:p w:rsidR="007A6EB4" w:rsidRDefault="006F3363">
      <w:pPr>
        <w:spacing w:before="120" w:line="300" w:lineRule="atLeast"/>
      </w:pPr>
      <w:r>
        <w:rPr>
          <w:rFonts w:ascii="Arial" w:eastAsia="Arial" w:hAnsi="Arial" w:cs="Arial"/>
          <w:color w:val="000000"/>
        </w:rPr>
        <w:t>West's Key Number Digest, Civil Rights [westkey]1083, 1808</w:t>
      </w:r>
    </w:p>
    <w:p w:rsidR="007A6EB4" w:rsidRDefault="006F3363">
      <w:pPr>
        <w:spacing w:before="120" w:line="300" w:lineRule="atLeast"/>
      </w:pPr>
      <w:r>
        <w:rPr>
          <w:rFonts w:ascii="Arial" w:eastAsia="Arial" w:hAnsi="Arial" w:cs="Arial"/>
          <w:color w:val="000000"/>
        </w:rPr>
        <w:t>Proof of discrimination on the basis of handicap under the Fair Housing Act -- Gro</w:t>
      </w:r>
      <w:r>
        <w:rPr>
          <w:rFonts w:ascii="Arial" w:eastAsia="Arial" w:hAnsi="Arial" w:cs="Arial"/>
          <w:color w:val="000000"/>
        </w:rPr>
        <w:t>up home zoning. Discrimination on the Basis of Handicap Under the Fair Housing Act, 23 Am. Jur. Proof of Facts 3d 499 §§ 40 to 52</w:t>
      </w:r>
    </w:p>
    <w:p w:rsidR="007A6EB4" w:rsidRDefault="006F3363">
      <w:pPr>
        <w:spacing w:before="120" w:line="300" w:lineRule="atLeast"/>
      </w:pPr>
      <w:r>
        <w:rPr>
          <w:rFonts w:ascii="Arial" w:eastAsia="Arial" w:hAnsi="Arial" w:cs="Arial"/>
          <w:color w:val="000000"/>
        </w:rPr>
        <w:t>Am. Jur. Pleading and Practice Forms, Civil Rights § 61 (Complaint, petition, or declaration -- Discrimination in housing -- U</w:t>
      </w:r>
      <w:r>
        <w:rPr>
          <w:rFonts w:ascii="Arial" w:eastAsia="Arial" w:hAnsi="Arial" w:cs="Arial"/>
          <w:color w:val="000000"/>
        </w:rPr>
        <w:t>nder state Fair Housing Act)</w:t>
      </w:r>
    </w:p>
    <w:p w:rsidR="007A6EB4" w:rsidRDefault="006F3363">
      <w:pPr>
        <w:spacing w:before="120" w:line="300" w:lineRule="atLeast"/>
      </w:pPr>
      <w:r>
        <w:rPr>
          <w:rFonts w:ascii="Arial" w:eastAsia="Arial" w:hAnsi="Arial" w:cs="Arial"/>
          <w:color w:val="000000"/>
        </w:rPr>
        <w:t>Florida Jur. Forms Legal and Business § 16A:323 (Rights and duties of parties in event of litigation -- Action brought under Americans with Disabilities Act -- Discriminatory conduct)</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249" style="position:absolute;z-index:25183641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413.08(6)(c), Fla</w:t>
      </w:r>
      <w:r>
        <w:rPr>
          <w:rFonts w:ascii="Arial" w:eastAsia="Arial" w:hAnsi="Arial" w:cs="Arial"/>
          <w:color w:val="000000"/>
        </w:rPr>
        <w:t>. Stat., added, effective July 1, 2015, provides that § 413.08(6), Fla. Stat. does not limit the rights or remedies of a housing accommodation or an individual with a disability that are granted by federal law or another law of Florida with regard to other</w:t>
      </w:r>
      <w:r>
        <w:rPr>
          <w:rFonts w:ascii="Arial" w:eastAsia="Arial" w:hAnsi="Arial" w:cs="Arial"/>
          <w:color w:val="000000"/>
        </w:rPr>
        <w:t xml:space="preserve"> assistance animals.</w:t>
      </w:r>
    </w:p>
    <w:p w:rsidR="007A6EB4" w:rsidRDefault="006F3363">
      <w:pPr>
        <w:spacing w:before="200" w:line="300" w:lineRule="atLeast"/>
        <w:jc w:val="both"/>
      </w:pPr>
      <w:r>
        <w:rPr>
          <w:rFonts w:ascii="Arial" w:eastAsia="Arial" w:hAnsi="Arial" w:cs="Arial"/>
          <w:color w:val="000000"/>
        </w:rPr>
        <w:t>Cases</w:t>
      </w:r>
    </w:p>
    <w:p w:rsidR="007A6EB4" w:rsidRDefault="006F3363">
      <w:pPr>
        <w:spacing w:before="200" w:line="300" w:lineRule="atLeast"/>
        <w:jc w:val="both"/>
      </w:pPr>
      <w:r>
        <w:rPr>
          <w:rFonts w:ascii="Arial" w:eastAsia="Arial" w:hAnsi="Arial" w:cs="Arial"/>
          <w:color w:val="000000"/>
        </w:rPr>
        <w:t xml:space="preserve">Even assuming that excavation or dune maintenance, so condominium residents' son could access the beach, could be viewed as an accommodation rather than a modification of facilities under the federal Fair Housing Act (FHA), such </w:t>
      </w:r>
      <w:r>
        <w:rPr>
          <w:rFonts w:ascii="Arial" w:eastAsia="Arial" w:hAnsi="Arial" w:cs="Arial"/>
          <w:color w:val="000000"/>
        </w:rPr>
        <w:t xml:space="preserve">accommodation was not a reasonable accommodation; residents would be asking condominium association to maintain a critically </w:t>
      </w:r>
      <w:r>
        <w:rPr>
          <w:rFonts w:ascii="Arial" w:eastAsia="Arial" w:hAnsi="Arial" w:cs="Arial"/>
          <w:color w:val="000000"/>
        </w:rPr>
        <w:lastRenderedPageBreak/>
        <w:t>eroded beach dune that was under the control and jurisdiction of the Florida Department of Environmental Protection (DEP). Fair Hou</w:t>
      </w:r>
      <w:r>
        <w:rPr>
          <w:rFonts w:ascii="Arial" w:eastAsia="Arial" w:hAnsi="Arial" w:cs="Arial"/>
          <w:color w:val="000000"/>
        </w:rPr>
        <w:t>sing Act, § 804(f)(3)(A, B), 42 U.S.C.A. § 3604(f)(3)(A, B). Weiss v. 2100 Condominium Ass'n, Inc., 941 F. Supp. 2d 1337 (S.D. Fla. 2013).</w:t>
      </w:r>
    </w:p>
    <w:p w:rsidR="007A6EB4" w:rsidRDefault="006F3363">
      <w:pPr>
        <w:spacing w:before="200" w:line="300" w:lineRule="atLeast"/>
        <w:jc w:val="both"/>
      </w:pPr>
      <w:r>
        <w:rPr>
          <w:rFonts w:ascii="Arial" w:eastAsia="Arial" w:hAnsi="Arial" w:cs="Arial"/>
          <w:color w:val="000000"/>
        </w:rPr>
        <w:t xml:space="preserve">After homeowners' association received letter from homeowner stating that his fianc e was "qualified individual with </w:t>
      </w:r>
      <w:r>
        <w:rPr>
          <w:rFonts w:ascii="Arial" w:eastAsia="Arial" w:hAnsi="Arial" w:cs="Arial"/>
          <w:color w:val="000000"/>
        </w:rPr>
        <w:t>a disability," association did not violate its duty to make reasonable accommodation under Federal Fair Housing Act, when it notified homeowner's counsel that if letter was request for accommodation for disabled person, it had to be placed on agenda for bo</w:t>
      </w:r>
      <w:r>
        <w:rPr>
          <w:rFonts w:ascii="Arial" w:eastAsia="Arial" w:hAnsi="Arial" w:cs="Arial"/>
          <w:color w:val="000000"/>
        </w:rPr>
        <w:t>ard meeting. Fair Housing Act, §§ 801-820, 42 U.S.C.A. §§ 3601-3619. Sun Harbor Homeowners' Ass'n, Inc. v. Bonura, 95 So. 3d 262 (Fla. 4th DCA 2012).</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50" style="position:absolute;left:0;text-align:left;z-index:251868160;mso-position-horizontal-relative:text;mso-position-vertical-relative:text" from="0,10pt" to="512pt,10pt" strokeweight="1pt"/>
        </w:pict>
      </w:r>
      <w:r>
        <w:rPr>
          <w:b/>
          <w:color w:val="767676"/>
          <w:sz w:val="16"/>
        </w:rPr>
        <w:t xml:space="preserve">End of </w:t>
      </w:r>
      <w:r>
        <w:rPr>
          <w:b/>
          <w:color w:val="767676"/>
          <w:sz w:val="16"/>
        </w:rPr>
        <w:t>Document</w:t>
      </w:r>
    </w:p>
    <w:p w:rsidR="007A6EB4" w:rsidRDefault="007A6EB4">
      <w:pPr>
        <w:sectPr w:rsidR="007A6EB4">
          <w:headerReference w:type="even" r:id="rId247"/>
          <w:headerReference w:type="default" r:id="rId248"/>
          <w:footerReference w:type="even" r:id="rId249"/>
          <w:footerReference w:type="default" r:id="rId250"/>
          <w:headerReference w:type="first" r:id="rId251"/>
          <w:footerReference w:type="first" r:id="rId252"/>
          <w:pgSz w:w="12240" w:h="15840"/>
          <w:pgMar w:top="840" w:right="1000" w:bottom="840" w:left="1000" w:header="400" w:footer="400" w:gutter="0"/>
          <w:cols w:space="720"/>
          <w:titlePg/>
        </w:sectPr>
      </w:pPr>
    </w:p>
    <w:p w:rsidR="007A6EB4" w:rsidRDefault="007A6EB4">
      <w:bookmarkStart w:id="41" w:name="Bookmark_41"/>
      <w:bookmarkEnd w:id="41"/>
    </w:p>
    <w:p w:rsidR="007A6EB4" w:rsidRDefault="006F3363">
      <w:r>
        <w:pict>
          <v:shape id="_x0000_i1065"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40</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C. Discrimination in Housing</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52" style="position:absolute;z-index:25169920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Rachel M. </w:t>
      </w:r>
      <w:r>
        <w:rPr>
          <w:rFonts w:ascii="Arial" w:eastAsia="Arial" w:hAnsi="Arial" w:cs="Arial"/>
          <w:color w:val="000000"/>
        </w:rPr>
        <w:t>Kane, M.A., J.D.</w:t>
      </w:r>
    </w:p>
    <w:p w:rsidR="007A6EB4" w:rsidRDefault="006F3363">
      <w:pPr>
        <w:keepNext/>
        <w:spacing w:before="240" w:line="340" w:lineRule="atLeast"/>
      </w:pPr>
      <w:r>
        <w:rPr>
          <w:rFonts w:ascii="Arial" w:eastAsia="Arial" w:hAnsi="Arial" w:cs="Arial"/>
          <w:b/>
          <w:color w:val="000000"/>
          <w:sz w:val="28"/>
        </w:rPr>
        <w:t>§ 40 Housing rights of those with AIDS</w:t>
      </w:r>
    </w:p>
    <w:p w:rsidR="007A6EB4" w:rsidRDefault="006F3363">
      <w:pPr>
        <w:spacing w:line="60" w:lineRule="exact"/>
      </w:pPr>
      <w:r>
        <w:pict>
          <v:line id="_x0000_s1253" style="position:absolute;z-index:251745280"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Any persons with or perceived as having acquired immune deficiency syndrome (AIDS), acquired-immune-deficiency-syndrome-related complex, or human immunodeficiency virus (HIV) have the same </w:t>
      </w:r>
      <w:r>
        <w:rPr>
          <w:rFonts w:ascii="Arial" w:eastAsia="Arial" w:hAnsi="Arial" w:cs="Arial"/>
          <w:color w:val="000000"/>
        </w:rPr>
        <w:t>protections available to handicapped persons.</w:t>
      </w:r>
      <w:r>
        <w:rPr>
          <w:rFonts w:ascii="Arial" w:eastAsia="Arial" w:hAnsi="Arial" w:cs="Arial"/>
          <w:vertAlign w:val="superscript"/>
        </w:rPr>
        <w:footnoteReference w:customMarkFollows="1" w:id="343"/>
        <w:t>n1</w:t>
      </w:r>
      <w:r>
        <w:rPr>
          <w:rFonts w:ascii="Arial" w:eastAsia="Arial" w:hAnsi="Arial" w:cs="Arial"/>
          <w:color w:val="000000"/>
        </w:rPr>
        <w:t xml:space="preserve"> A person may not discriminate against one who is otherwise qualified in, among other things, housing on the basis of the fact that the individual is, or is regarded as being, infected with the human immunodef</w:t>
      </w:r>
      <w:r>
        <w:rPr>
          <w:rFonts w:ascii="Arial" w:eastAsia="Arial" w:hAnsi="Arial" w:cs="Arial"/>
          <w:color w:val="000000"/>
        </w:rPr>
        <w:t>iciency virus.</w:t>
      </w:r>
      <w:r>
        <w:rPr>
          <w:rFonts w:ascii="Arial" w:eastAsia="Arial" w:hAnsi="Arial" w:cs="Arial"/>
          <w:vertAlign w:val="superscript"/>
        </w:rPr>
        <w:footnoteReference w:customMarkFollows="1" w:id="344"/>
        <w:t>n2</w:t>
      </w:r>
      <w:r>
        <w:rPr>
          <w:rFonts w:ascii="Arial" w:eastAsia="Arial" w:hAnsi="Arial" w:cs="Arial"/>
          <w:color w:val="000000"/>
        </w:rPr>
        <w:t xml:space="preserve"> Likewise, a person or entity who is receiving or benefiting from state financial assistance may not discriminate against an otherwise qualified individual on the basis of the fact that the individual is, or is regarded as being, infected w</w:t>
      </w:r>
      <w:r>
        <w:rPr>
          <w:rFonts w:ascii="Arial" w:eastAsia="Arial" w:hAnsi="Arial" w:cs="Arial"/>
          <w:color w:val="000000"/>
        </w:rPr>
        <w:t>ith the virus.</w:t>
      </w:r>
      <w:r>
        <w:rPr>
          <w:rFonts w:ascii="Arial" w:eastAsia="Arial" w:hAnsi="Arial" w:cs="Arial"/>
          <w:vertAlign w:val="superscript"/>
        </w:rPr>
        <w:footnoteReference w:customMarkFollows="1" w:id="345"/>
        <w:t>n3</w:t>
      </w:r>
      <w:r>
        <w:rPr>
          <w:rFonts w:ascii="Arial" w:eastAsia="Arial" w:hAnsi="Arial" w:cs="Arial"/>
          <w:color w:val="000000"/>
        </w:rPr>
        <w:t xml:space="preserve"> One who asserts that an individual who is infected with the virus is not otherwise qualified has the burden of proving that no reasonable accommodation can be made to prevent the likelihood that the individual will expose others to a signi</w:t>
      </w:r>
      <w:r>
        <w:rPr>
          <w:rFonts w:ascii="Arial" w:eastAsia="Arial" w:hAnsi="Arial" w:cs="Arial"/>
          <w:color w:val="000000"/>
        </w:rPr>
        <w:t>ficant possibility of infection.</w:t>
      </w:r>
      <w:r>
        <w:rPr>
          <w:rFonts w:ascii="Arial" w:eastAsia="Arial" w:hAnsi="Arial" w:cs="Arial"/>
          <w:vertAlign w:val="superscript"/>
        </w:rPr>
        <w:footnoteReference w:customMarkFollows="1" w:id="346"/>
        <w:t>n4</w:t>
      </w:r>
    </w:p>
    <w:p w:rsidR="007A6EB4" w:rsidRDefault="006F3363">
      <w:pPr>
        <w:spacing w:before="200" w:line="300" w:lineRule="atLeast"/>
        <w:jc w:val="both"/>
      </w:pPr>
      <w:r>
        <w:rPr>
          <w:rFonts w:ascii="Arial" w:eastAsia="Arial" w:hAnsi="Arial" w:cs="Arial"/>
          <w:color w:val="000000"/>
        </w:rPr>
        <w:t>Observation: Legal action by a residential landlord to interfere with a tenancy or to evict a tenant is not a prerequisite for a tenant's claim against the landlord for discrimination in housing on the basis of the tenant</w:t>
      </w:r>
      <w:r>
        <w:rPr>
          <w:rFonts w:ascii="Arial" w:eastAsia="Arial" w:hAnsi="Arial" w:cs="Arial"/>
          <w:color w:val="000000"/>
        </w:rPr>
        <w:t>'s HIV status.</w:t>
      </w:r>
      <w:r>
        <w:rPr>
          <w:rFonts w:ascii="Arial" w:eastAsia="Arial" w:hAnsi="Arial" w:cs="Arial"/>
          <w:vertAlign w:val="superscript"/>
        </w:rPr>
        <w:footnoteReference w:customMarkFollows="1" w:id="347"/>
        <w:t>n5</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54" style="position:absolute;z-index:251791360"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Civil Rights [westkey]1024, 1075 to 1084, 1706 to 1709, 1717, 1731, 1808</w:t>
      </w:r>
    </w:p>
    <w:p w:rsidR="007A6EB4" w:rsidRDefault="006F3363">
      <w:pPr>
        <w:spacing w:before="120" w:line="300" w:lineRule="atLeast"/>
      </w:pPr>
      <w:r>
        <w:rPr>
          <w:rFonts w:ascii="Arial" w:eastAsia="Arial" w:hAnsi="Arial" w:cs="Arial"/>
          <w:color w:val="000000"/>
        </w:rPr>
        <w:lastRenderedPageBreak/>
        <w:t>A.L.R. Index, Apartments and Apartment Houses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Fair Housing Act</w:t>
      </w:r>
    </w:p>
    <w:p w:rsidR="007A6EB4" w:rsidRDefault="006F3363">
      <w:pPr>
        <w:spacing w:before="120" w:line="300" w:lineRule="atLeast"/>
      </w:pPr>
      <w:r>
        <w:rPr>
          <w:rFonts w:ascii="Arial" w:eastAsia="Arial" w:hAnsi="Arial" w:cs="Arial"/>
          <w:color w:val="000000"/>
        </w:rPr>
        <w:t>A.L</w:t>
      </w:r>
      <w:r>
        <w:rPr>
          <w:rFonts w:ascii="Arial" w:eastAsia="Arial" w:hAnsi="Arial" w:cs="Arial"/>
          <w:color w:val="000000"/>
        </w:rPr>
        <w:t>.R. Index, Racial Discrimination</w:t>
      </w:r>
    </w:p>
    <w:p w:rsidR="007A6EB4" w:rsidRDefault="006F3363">
      <w:pPr>
        <w:spacing w:before="120" w:line="300" w:lineRule="atLeast"/>
      </w:pPr>
      <w:r>
        <w:rPr>
          <w:rFonts w:ascii="Arial" w:eastAsia="Arial" w:hAnsi="Arial" w:cs="Arial"/>
          <w:color w:val="000000"/>
        </w:rPr>
        <w:t>West's A.L.R. Digest, Civil Rights [westkey]1024, 1075 to 1084, 1706 to 1709, 1717, 1731, 1808</w:t>
      </w:r>
    </w:p>
    <w:p w:rsidR="007A6EB4" w:rsidRDefault="006F3363">
      <w:pPr>
        <w:spacing w:before="120" w:line="300" w:lineRule="atLeast"/>
      </w:pPr>
      <w:r>
        <w:rPr>
          <w:rFonts w:ascii="Arial" w:eastAsia="Arial" w:hAnsi="Arial" w:cs="Arial"/>
          <w:color w:val="000000"/>
        </w:rPr>
        <w:t>Am. Jur. 2d, Civil Rights §§ 390 to 529</w:t>
      </w:r>
    </w:p>
    <w:p w:rsidR="007A6EB4" w:rsidRDefault="006F3363">
      <w:pPr>
        <w:spacing w:before="120" w:line="300" w:lineRule="atLeast"/>
      </w:pPr>
      <w:r>
        <w:rPr>
          <w:rFonts w:ascii="Arial" w:eastAsia="Arial" w:hAnsi="Arial" w:cs="Arial"/>
          <w:color w:val="000000"/>
        </w:rPr>
        <w:t>C.J.S., Civil Rights §§ 127 to 133</w:t>
      </w:r>
    </w:p>
    <w:p w:rsidR="007A6EB4" w:rsidRDefault="006F3363">
      <w:pPr>
        <w:spacing w:before="120" w:line="300" w:lineRule="atLeast"/>
      </w:pPr>
      <w:r>
        <w:rPr>
          <w:rFonts w:ascii="Arial" w:eastAsia="Arial" w:hAnsi="Arial" w:cs="Arial"/>
          <w:color w:val="000000"/>
        </w:rPr>
        <w:t>Proof of Housing Discrimination Against a Prospective</w:t>
      </w:r>
      <w:r>
        <w:rPr>
          <w:rFonts w:ascii="Arial" w:eastAsia="Arial" w:hAnsi="Arial" w:cs="Arial"/>
          <w:color w:val="000000"/>
        </w:rPr>
        <w:t xml:space="preserve"> Tenant on Account of Race or National Origin, 93 Am. Jur. Proof of Facts 3d 415</w:t>
      </w:r>
    </w:p>
    <w:p w:rsidR="007A6EB4" w:rsidRDefault="006F3363">
      <w:pPr>
        <w:spacing w:before="120" w:line="300" w:lineRule="atLeast"/>
      </w:pPr>
      <w:r>
        <w:rPr>
          <w:rFonts w:ascii="Arial" w:eastAsia="Arial" w:hAnsi="Arial" w:cs="Arial"/>
          <w:color w:val="000000"/>
        </w:rPr>
        <w:t>Discrimination on the Basis of Handicap Under the Fair Housing Act, 23 Am. Jur. Proof of Facts 3d 499</w:t>
      </w:r>
    </w:p>
    <w:p w:rsidR="007A6EB4" w:rsidRDefault="006F3363">
      <w:pPr>
        <w:spacing w:before="120" w:line="300" w:lineRule="atLeast"/>
      </w:pPr>
      <w:r>
        <w:rPr>
          <w:rFonts w:ascii="Arial" w:eastAsia="Arial" w:hAnsi="Arial" w:cs="Arial"/>
          <w:color w:val="000000"/>
        </w:rPr>
        <w:t xml:space="preserve">Racial Discrimination in Sale of Real Estate, 14 Am. Jur. Proof of Facts </w:t>
      </w:r>
      <w:r>
        <w:rPr>
          <w:rFonts w:ascii="Arial" w:eastAsia="Arial" w:hAnsi="Arial" w:cs="Arial"/>
          <w:color w:val="000000"/>
        </w:rPr>
        <w:t>2d 511</w:t>
      </w:r>
    </w:p>
    <w:p w:rsidR="007A6EB4" w:rsidRDefault="006F3363">
      <w:pPr>
        <w:spacing w:before="120" w:line="300" w:lineRule="atLeast"/>
      </w:pPr>
      <w:r>
        <w:rPr>
          <w:rFonts w:ascii="Arial" w:eastAsia="Arial" w:hAnsi="Arial" w:cs="Arial"/>
          <w:color w:val="000000"/>
        </w:rPr>
        <w:t>Housing Discrimination Litigation, 28 Am. Jur. Trials 1</w:t>
      </w:r>
    </w:p>
    <w:p w:rsidR="007A6EB4" w:rsidRDefault="006F3363">
      <w:pPr>
        <w:spacing w:before="120" w:line="300" w:lineRule="atLeast"/>
      </w:pPr>
      <w:r>
        <w:rPr>
          <w:rFonts w:ascii="Arial" w:eastAsia="Arial" w:hAnsi="Arial" w:cs="Arial"/>
          <w:color w:val="000000"/>
        </w:rPr>
        <w:t>Am. Jur. Pleading and Practice Forms, Civil Rights §§ 60 to 68</w:t>
      </w:r>
    </w:p>
    <w:p w:rsidR="007A6EB4" w:rsidRDefault="006F3363">
      <w:pPr>
        <w:spacing w:before="120" w:line="300" w:lineRule="atLeast"/>
      </w:pPr>
      <w:r>
        <w:rPr>
          <w:rFonts w:ascii="Arial" w:eastAsia="Arial" w:hAnsi="Arial" w:cs="Arial"/>
          <w:color w:val="000000"/>
        </w:rPr>
        <w:t>Florida Jur. Forms Legal and Business § 16A:323</w:t>
      </w:r>
    </w:p>
    <w:p w:rsidR="007A6EB4" w:rsidRDefault="006F3363">
      <w:pPr>
        <w:spacing w:before="120" w:line="300" w:lineRule="atLeast"/>
      </w:pPr>
      <w:r>
        <w:rPr>
          <w:rFonts w:ascii="Arial" w:eastAsia="Arial" w:hAnsi="Arial" w:cs="Arial"/>
          <w:color w:val="000000"/>
        </w:rPr>
        <w:t>West's Key Number Digest, Civil Rights [westkey]1024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55" style="position:absolute;left:0;text-align:left;z-index:251837440;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53"/>
          <w:headerReference w:type="default" r:id="rId254"/>
          <w:footerReference w:type="even" r:id="rId255"/>
          <w:footerReference w:type="default" r:id="rId256"/>
          <w:headerReference w:type="first" r:id="rId257"/>
          <w:footerReference w:type="first" r:id="rId258"/>
          <w:pgSz w:w="12240" w:h="15840"/>
          <w:pgMar w:top="840" w:right="1000" w:bottom="840" w:left="1000" w:header="400" w:footer="400" w:gutter="0"/>
          <w:cols w:space="720"/>
          <w:titlePg/>
        </w:sectPr>
      </w:pPr>
    </w:p>
    <w:p w:rsidR="007A6EB4" w:rsidRDefault="007A6EB4">
      <w:bookmarkStart w:id="42" w:name="Bookmark_42"/>
      <w:bookmarkEnd w:id="42"/>
    </w:p>
    <w:p w:rsidR="007A6EB4" w:rsidRDefault="006F3363">
      <w:r>
        <w:pict>
          <v:shape id="_x0000_i1066"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41</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D. Other Protection Against Discriminatory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57" style="position:absolute;z-index:25170022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41 Furnishing of insurance to disabled persons or those with AIDS or sickle-cell trait</w:t>
      </w:r>
    </w:p>
    <w:p w:rsidR="007A6EB4" w:rsidRDefault="006F3363">
      <w:pPr>
        <w:spacing w:line="60" w:lineRule="exact"/>
      </w:pPr>
      <w:r>
        <w:pict>
          <v:line id="_x0000_s1258" style="position:absolute;z-index:251746304"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No health insurer may refuse to provide or </w:t>
      </w:r>
      <w:r>
        <w:rPr>
          <w:rFonts w:ascii="Arial" w:eastAsia="Arial" w:hAnsi="Arial" w:cs="Arial"/>
          <w:color w:val="000000"/>
        </w:rPr>
        <w:t xml:space="preserve">charge unfairly discriminatory rates for health-insurance coverage for a person solely because he or she is mentally or physically handicapped although an insurer is not required to provide insurance coverage against a person's handicap that the applicant </w:t>
      </w:r>
      <w:r>
        <w:rPr>
          <w:rFonts w:ascii="Arial" w:eastAsia="Arial" w:hAnsi="Arial" w:cs="Arial"/>
          <w:color w:val="000000"/>
        </w:rPr>
        <w:t>or policyholder has already sustained.</w:t>
      </w:r>
      <w:r>
        <w:rPr>
          <w:rFonts w:ascii="Arial" w:eastAsia="Arial" w:hAnsi="Arial" w:cs="Arial"/>
          <w:vertAlign w:val="superscript"/>
        </w:rPr>
        <w:footnoteReference w:customMarkFollows="1" w:id="348"/>
        <w:t>n1</w:t>
      </w:r>
    </w:p>
    <w:p w:rsidR="007A6EB4" w:rsidRDefault="006F3363">
      <w:pPr>
        <w:spacing w:before="200" w:line="300" w:lineRule="atLeast"/>
        <w:jc w:val="both"/>
      </w:pPr>
      <w:r>
        <w:rPr>
          <w:rFonts w:ascii="Arial" w:eastAsia="Arial" w:hAnsi="Arial" w:cs="Arial"/>
          <w:color w:val="000000"/>
        </w:rPr>
        <w:t>Any persons with, or perceived as having, acquired immune deficiency syndrome (AIDS), acquired-immune-deficiency-syndrome-related complex, or human immunodeficiency virus (HIV) have the same protections available to</w:t>
      </w:r>
      <w:r>
        <w:rPr>
          <w:rFonts w:ascii="Arial" w:eastAsia="Arial" w:hAnsi="Arial" w:cs="Arial"/>
          <w:color w:val="000000"/>
        </w:rPr>
        <w:t xml:space="preserve"> handicapped persons.</w:t>
      </w:r>
      <w:r>
        <w:rPr>
          <w:rFonts w:ascii="Arial" w:eastAsia="Arial" w:hAnsi="Arial" w:cs="Arial"/>
          <w:vertAlign w:val="superscript"/>
        </w:rPr>
        <w:footnoteReference w:customMarkFollows="1" w:id="349"/>
        <w:t>n2</w:t>
      </w:r>
      <w:r>
        <w:rPr>
          <w:rFonts w:ascii="Arial" w:eastAsia="Arial" w:hAnsi="Arial" w:cs="Arial"/>
          <w:color w:val="000000"/>
        </w:rPr>
        <w:t xml:space="preserve"> Every employer who provides or administers health-insurance benefits or life-insurance benefits to its employees must maintain the confidentiality of information relating to the medical condition or status of any person covered by i</w:t>
      </w:r>
      <w:r>
        <w:rPr>
          <w:rFonts w:ascii="Arial" w:eastAsia="Arial" w:hAnsi="Arial" w:cs="Arial"/>
          <w:color w:val="000000"/>
        </w:rPr>
        <w:t>nsurance benefits and is liable in damages for any failure to implement such a procedure.</w:t>
      </w:r>
      <w:r>
        <w:rPr>
          <w:rFonts w:ascii="Arial" w:eastAsia="Arial" w:hAnsi="Arial" w:cs="Arial"/>
          <w:vertAlign w:val="superscript"/>
        </w:rPr>
        <w:footnoteReference w:customMarkFollows="1" w:id="350"/>
        <w:t>n3</w:t>
      </w:r>
    </w:p>
    <w:p w:rsidR="007A6EB4" w:rsidRDefault="006F3363">
      <w:pPr>
        <w:spacing w:before="200" w:line="300" w:lineRule="atLeast"/>
        <w:jc w:val="both"/>
      </w:pPr>
      <w:r>
        <w:rPr>
          <w:rFonts w:ascii="Arial" w:eastAsia="Arial" w:hAnsi="Arial" w:cs="Arial"/>
          <w:color w:val="000000"/>
        </w:rPr>
        <w:t>No insurer authorized to transact insurance in Florida may refuse to issue and deliver any policy of disability insurance</w:t>
      </w:r>
      <w:r>
        <w:rPr>
          <w:rFonts w:ascii="Arial" w:eastAsia="Arial" w:hAnsi="Arial" w:cs="Arial"/>
          <w:vertAlign w:val="superscript"/>
        </w:rPr>
        <w:footnoteReference w:customMarkFollows="1" w:id="351"/>
        <w:t>n4</w:t>
      </w:r>
      <w:r>
        <w:rPr>
          <w:rFonts w:ascii="Arial" w:eastAsia="Arial" w:hAnsi="Arial" w:cs="Arial"/>
          <w:color w:val="000000"/>
        </w:rPr>
        <w:t xml:space="preserve"> or any policy of life insurance</w:t>
      </w:r>
      <w:r>
        <w:rPr>
          <w:rFonts w:ascii="Arial" w:eastAsia="Arial" w:hAnsi="Arial" w:cs="Arial"/>
          <w:vertAlign w:val="superscript"/>
        </w:rPr>
        <w:footnoteReference w:customMarkFollows="1" w:id="352"/>
        <w:t>n5</w:t>
      </w:r>
      <w:r>
        <w:rPr>
          <w:rFonts w:ascii="Arial" w:eastAsia="Arial" w:hAnsi="Arial" w:cs="Arial"/>
          <w:color w:val="000000"/>
        </w:rPr>
        <w:t xml:space="preserve"> solely</w:t>
      </w:r>
      <w:r>
        <w:rPr>
          <w:rFonts w:ascii="Arial" w:eastAsia="Arial" w:hAnsi="Arial" w:cs="Arial"/>
          <w:color w:val="000000"/>
        </w:rPr>
        <w:t xml:space="preserve"> because the person to be insured has the sickle-cell trait, nor may such policies carry a higher premium rate or charge solely because the person to be insured has the trait.</w:t>
      </w:r>
      <w:r>
        <w:rPr>
          <w:rFonts w:ascii="Arial" w:eastAsia="Arial" w:hAnsi="Arial" w:cs="Arial"/>
          <w:vertAlign w:val="superscript"/>
        </w:rPr>
        <w:footnoteReference w:customMarkFollows="1" w:id="353"/>
        <w:t>n6</w:t>
      </w:r>
    </w:p>
    <w:p w:rsidR="007A6EB4" w:rsidRDefault="006F3363">
      <w:pPr>
        <w:keepNext/>
        <w:spacing w:before="240" w:line="340" w:lineRule="atLeast"/>
      </w:pPr>
      <w:r>
        <w:lastRenderedPageBreak/>
        <w:br/>
      </w:r>
      <w:r>
        <w:rPr>
          <w:rFonts w:ascii="Arial" w:eastAsia="Arial" w:hAnsi="Arial" w:cs="Arial"/>
          <w:b/>
          <w:color w:val="000000"/>
          <w:sz w:val="28"/>
        </w:rPr>
        <w:t>Reference</w:t>
      </w:r>
    </w:p>
    <w:p w:rsidR="007A6EB4" w:rsidRDefault="006F3363">
      <w:pPr>
        <w:spacing w:line="60" w:lineRule="exact"/>
      </w:pPr>
      <w:r>
        <w:pict>
          <v:line id="_x0000_s1259" style="position:absolute;z-index:251792384"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Associations [westkey]7</w:t>
      </w:r>
    </w:p>
    <w:p w:rsidR="007A6EB4" w:rsidRDefault="006F3363">
      <w:pPr>
        <w:spacing w:before="120" w:line="300" w:lineRule="atLeast"/>
      </w:pPr>
      <w:r>
        <w:rPr>
          <w:rFonts w:ascii="Arial" w:eastAsia="Arial" w:hAnsi="Arial" w:cs="Arial"/>
          <w:color w:val="000000"/>
        </w:rPr>
        <w:t>West's Key Num</w:t>
      </w:r>
      <w:r>
        <w:rPr>
          <w:rFonts w:ascii="Arial" w:eastAsia="Arial" w:hAnsi="Arial" w:cs="Arial"/>
          <w:color w:val="000000"/>
        </w:rPr>
        <w:t>ber Digest, Civil Rights [westkey]1009 to 1011, 1013 to 1015</w:t>
      </w:r>
    </w:p>
    <w:p w:rsidR="007A6EB4" w:rsidRDefault="006F3363">
      <w:pPr>
        <w:spacing w:before="120" w:line="300" w:lineRule="atLeast"/>
      </w:pPr>
      <w:r>
        <w:rPr>
          <w:rFonts w:ascii="Arial" w:eastAsia="Arial" w:hAnsi="Arial" w:cs="Arial"/>
          <w:color w:val="000000"/>
        </w:rPr>
        <w:t>West's Key Number Digest, Clubs [westkey]5</w:t>
      </w:r>
    </w:p>
    <w:p w:rsidR="007A6EB4" w:rsidRDefault="006F3363">
      <w:pPr>
        <w:spacing w:before="120" w:line="300" w:lineRule="atLeast"/>
      </w:pPr>
      <w:r>
        <w:rPr>
          <w:rFonts w:ascii="Arial" w:eastAsia="Arial" w:hAnsi="Arial" w:cs="Arial"/>
          <w:color w:val="000000"/>
        </w:rPr>
        <w:t>West's Key Number Digest, Insurance [westkey]1518 to 1524</w:t>
      </w:r>
    </w:p>
    <w:p w:rsidR="007A6EB4" w:rsidRDefault="006F3363">
      <w:pPr>
        <w:spacing w:before="120" w:line="300" w:lineRule="atLeast"/>
      </w:pPr>
      <w:r>
        <w:rPr>
          <w:rFonts w:ascii="Arial" w:eastAsia="Arial" w:hAnsi="Arial" w:cs="Arial"/>
          <w:color w:val="000000"/>
        </w:rPr>
        <w:t>A.L.R. Index, Associations and Clubs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w:t>
      </w:r>
      <w:r>
        <w:rPr>
          <w:rFonts w:ascii="Arial" w:eastAsia="Arial" w:hAnsi="Arial" w:cs="Arial"/>
          <w:color w:val="000000"/>
        </w:rPr>
        <w:t>x, Insurance and Insurance Companies</w:t>
      </w:r>
    </w:p>
    <w:p w:rsidR="007A6EB4" w:rsidRDefault="006F3363">
      <w:pPr>
        <w:spacing w:before="120" w:line="300" w:lineRule="atLeast"/>
      </w:pPr>
      <w:r>
        <w:rPr>
          <w:rFonts w:ascii="Arial" w:eastAsia="Arial" w:hAnsi="Arial" w:cs="Arial"/>
          <w:color w:val="000000"/>
        </w:rPr>
        <w:t>West's A.L.R. Digest, Associations [westkey]7</w:t>
      </w:r>
    </w:p>
    <w:p w:rsidR="007A6EB4" w:rsidRDefault="006F3363">
      <w:pPr>
        <w:spacing w:before="120" w:line="300" w:lineRule="atLeast"/>
      </w:pPr>
      <w:r>
        <w:rPr>
          <w:rFonts w:ascii="Arial" w:eastAsia="Arial" w:hAnsi="Arial" w:cs="Arial"/>
          <w:color w:val="000000"/>
        </w:rPr>
        <w:t>West's A.L.R. Digest, Civil Rights [westkey]1009 to 1011, 1013 to 1015</w:t>
      </w:r>
    </w:p>
    <w:p w:rsidR="007A6EB4" w:rsidRDefault="006F3363">
      <w:pPr>
        <w:spacing w:before="120" w:line="300" w:lineRule="atLeast"/>
      </w:pPr>
      <w:r>
        <w:rPr>
          <w:rFonts w:ascii="Arial" w:eastAsia="Arial" w:hAnsi="Arial" w:cs="Arial"/>
          <w:color w:val="000000"/>
        </w:rPr>
        <w:t>West's A.L.R. Digest, Clubs [westkey]5</w:t>
      </w:r>
    </w:p>
    <w:p w:rsidR="007A6EB4" w:rsidRDefault="006F3363">
      <w:pPr>
        <w:spacing w:before="120" w:line="300" w:lineRule="atLeast"/>
      </w:pPr>
      <w:r>
        <w:rPr>
          <w:rFonts w:ascii="Arial" w:eastAsia="Arial" w:hAnsi="Arial" w:cs="Arial"/>
          <w:color w:val="000000"/>
        </w:rPr>
        <w:t>West's A.L.R. Digest, Insurance [westkey]1518 to 1524</w:t>
      </w:r>
    </w:p>
    <w:p w:rsidR="007A6EB4" w:rsidRDefault="006F3363">
      <w:pPr>
        <w:spacing w:before="120" w:line="300" w:lineRule="atLeast"/>
      </w:pPr>
      <w:r>
        <w:rPr>
          <w:rFonts w:ascii="Arial" w:eastAsia="Arial" w:hAnsi="Arial" w:cs="Arial"/>
          <w:color w:val="000000"/>
        </w:rPr>
        <w:t xml:space="preserve">Am. Jur. </w:t>
      </w:r>
      <w:r>
        <w:rPr>
          <w:rFonts w:ascii="Arial" w:eastAsia="Arial" w:hAnsi="Arial" w:cs="Arial"/>
          <w:color w:val="000000"/>
        </w:rPr>
        <w:t>2d, Civil Rights §§ 233 to 240, 341</w:t>
      </w:r>
    </w:p>
    <w:p w:rsidR="007A6EB4" w:rsidRDefault="006F3363">
      <w:pPr>
        <w:spacing w:before="120" w:line="300" w:lineRule="atLeast"/>
      </w:pPr>
      <w:r>
        <w:rPr>
          <w:rFonts w:ascii="Arial" w:eastAsia="Arial" w:hAnsi="Arial" w:cs="Arial"/>
          <w:color w:val="000000"/>
        </w:rPr>
        <w:t>Am. Jur. 2d, Insurance § 551</w:t>
      </w:r>
    </w:p>
    <w:p w:rsidR="007A6EB4" w:rsidRDefault="006F3363">
      <w:pPr>
        <w:spacing w:before="120" w:line="300" w:lineRule="atLeast"/>
      </w:pPr>
      <w:r>
        <w:rPr>
          <w:rFonts w:ascii="Arial" w:eastAsia="Arial" w:hAnsi="Arial" w:cs="Arial"/>
          <w:color w:val="000000"/>
        </w:rPr>
        <w:t>C.J.S., Civil Rights §§ 96, 97, 303</w:t>
      </w:r>
    </w:p>
    <w:p w:rsidR="007A6EB4" w:rsidRDefault="006F3363">
      <w:pPr>
        <w:spacing w:before="120" w:line="300" w:lineRule="atLeast"/>
      </w:pPr>
      <w:r>
        <w:rPr>
          <w:rFonts w:ascii="Arial" w:eastAsia="Arial" w:hAnsi="Arial" w:cs="Arial"/>
          <w:color w:val="000000"/>
        </w:rPr>
        <w:t>C.J.S., Insurance § 43</w:t>
      </w:r>
    </w:p>
    <w:p w:rsidR="007A6EB4" w:rsidRDefault="006F3363">
      <w:pPr>
        <w:spacing w:before="120" w:line="300" w:lineRule="atLeast"/>
      </w:pPr>
      <w:r>
        <w:rPr>
          <w:rFonts w:ascii="Arial" w:eastAsia="Arial" w:hAnsi="Arial" w:cs="Arial"/>
          <w:color w:val="000000"/>
        </w:rPr>
        <w:t>Am. Jur. Legal Forms 2d § 27:138</w:t>
      </w:r>
    </w:p>
    <w:p w:rsidR="007A6EB4" w:rsidRDefault="006F3363">
      <w:pPr>
        <w:spacing w:before="120" w:line="300" w:lineRule="atLeast"/>
      </w:pPr>
      <w:r>
        <w:rPr>
          <w:rFonts w:ascii="Arial" w:eastAsia="Arial" w:hAnsi="Arial" w:cs="Arial"/>
          <w:color w:val="000000"/>
        </w:rPr>
        <w:t>West's Key Number Digest, Civil Rights [westkey]1015</w:t>
      </w:r>
    </w:p>
    <w:p w:rsidR="007A6EB4" w:rsidRDefault="006F3363">
      <w:pPr>
        <w:spacing w:before="120" w:line="300" w:lineRule="atLeast"/>
      </w:pPr>
      <w:r>
        <w:rPr>
          <w:rFonts w:ascii="Arial" w:eastAsia="Arial" w:hAnsi="Arial" w:cs="Arial"/>
          <w:color w:val="000000"/>
        </w:rPr>
        <w:t xml:space="preserve">West's Key Number Digest, Insurance </w:t>
      </w:r>
      <w:r>
        <w:rPr>
          <w:rFonts w:ascii="Arial" w:eastAsia="Arial" w:hAnsi="Arial" w:cs="Arial"/>
          <w:color w:val="000000"/>
        </w:rPr>
        <w:t>[westkey]1518 to 1524</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60" style="position:absolute;left:0;text-align:left;z-index:25183846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59"/>
          <w:headerReference w:type="default" r:id="rId260"/>
          <w:footerReference w:type="even" r:id="rId261"/>
          <w:footerReference w:type="default" r:id="rId262"/>
          <w:headerReference w:type="first" r:id="rId263"/>
          <w:footerReference w:type="first" r:id="rId264"/>
          <w:pgSz w:w="12240" w:h="15840"/>
          <w:pgMar w:top="840" w:right="1000" w:bottom="840" w:left="1000" w:header="400" w:footer="400" w:gutter="0"/>
          <w:cols w:space="720"/>
          <w:titlePg/>
        </w:sectPr>
      </w:pPr>
    </w:p>
    <w:p w:rsidR="007A6EB4" w:rsidRDefault="007A6EB4">
      <w:bookmarkStart w:id="43" w:name="Bookmark_43"/>
      <w:bookmarkEnd w:id="43"/>
    </w:p>
    <w:p w:rsidR="007A6EB4" w:rsidRDefault="006F3363">
      <w:r>
        <w:pict>
          <v:shape id="_x0000_i1067"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42</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D. Other Protection Against Discriminatory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62" style="position:absolute;z-index:25170124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xml:space="preserve">§ 42 Screening for sickle-cell trait as condition for admission to educational </w:t>
      </w:r>
      <w:r>
        <w:rPr>
          <w:rFonts w:ascii="Arial" w:eastAsia="Arial" w:hAnsi="Arial" w:cs="Arial"/>
          <w:b/>
          <w:color w:val="000000"/>
          <w:sz w:val="28"/>
        </w:rPr>
        <w:t>institution or for eligibility for adoption</w:t>
      </w:r>
    </w:p>
    <w:p w:rsidR="007A6EB4" w:rsidRDefault="006F3363">
      <w:pPr>
        <w:spacing w:line="60" w:lineRule="exact"/>
      </w:pPr>
      <w:r>
        <w:pict>
          <v:line id="_x0000_s1263" style="position:absolute;z-index:251747328"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No person, firm, corporation, unincorporated association, state agency, unit of local government, or any public or private entity may require screening or testing for the sickle-cell trait as a condition for a</w:t>
      </w:r>
      <w:r>
        <w:rPr>
          <w:rFonts w:ascii="Arial" w:eastAsia="Arial" w:hAnsi="Arial" w:cs="Arial"/>
          <w:color w:val="000000"/>
        </w:rPr>
        <w:t>dmission into any state educational institution or state-chartered private educational institution or for becoming eligible for adoption if otherwise eligible for adoption under the laws of the state.</w:t>
      </w:r>
      <w:r>
        <w:rPr>
          <w:rFonts w:ascii="Arial" w:eastAsia="Arial" w:hAnsi="Arial" w:cs="Arial"/>
          <w:vertAlign w:val="superscript"/>
        </w:rPr>
        <w:footnoteReference w:customMarkFollows="1" w:id="354"/>
        <w:t>n1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64" style="position:absolute;z-index:251793408"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 xml:space="preserve">West's Key Number Digest, Associations </w:t>
      </w:r>
      <w:r>
        <w:rPr>
          <w:rFonts w:ascii="Arial" w:eastAsia="Arial" w:hAnsi="Arial" w:cs="Arial"/>
          <w:color w:val="000000"/>
        </w:rPr>
        <w:t>[westkey]7</w:t>
      </w:r>
    </w:p>
    <w:p w:rsidR="007A6EB4" w:rsidRDefault="006F3363">
      <w:pPr>
        <w:spacing w:before="120" w:line="300" w:lineRule="atLeast"/>
      </w:pPr>
      <w:r>
        <w:rPr>
          <w:rFonts w:ascii="Arial" w:eastAsia="Arial" w:hAnsi="Arial" w:cs="Arial"/>
          <w:color w:val="000000"/>
        </w:rPr>
        <w:t>West's Key Number Digest, Civil Rights [westkey]1009 to 1011, 1013 to 1015</w:t>
      </w:r>
    </w:p>
    <w:p w:rsidR="007A6EB4" w:rsidRDefault="006F3363">
      <w:pPr>
        <w:spacing w:before="120" w:line="300" w:lineRule="atLeast"/>
      </w:pPr>
      <w:r>
        <w:rPr>
          <w:rFonts w:ascii="Arial" w:eastAsia="Arial" w:hAnsi="Arial" w:cs="Arial"/>
          <w:color w:val="000000"/>
        </w:rPr>
        <w:t>West's Key Number Digest, Clubs [westkey]5</w:t>
      </w:r>
    </w:p>
    <w:p w:rsidR="007A6EB4" w:rsidRDefault="006F3363">
      <w:pPr>
        <w:spacing w:before="120" w:line="300" w:lineRule="atLeast"/>
      </w:pPr>
      <w:r>
        <w:rPr>
          <w:rFonts w:ascii="Arial" w:eastAsia="Arial" w:hAnsi="Arial" w:cs="Arial"/>
          <w:color w:val="000000"/>
        </w:rPr>
        <w:t>West's Key Number Digest, Insurance [westkey]1518 to 1524</w:t>
      </w:r>
    </w:p>
    <w:p w:rsidR="007A6EB4" w:rsidRDefault="006F3363">
      <w:pPr>
        <w:spacing w:before="120" w:line="300" w:lineRule="atLeast"/>
      </w:pPr>
      <w:r>
        <w:rPr>
          <w:rFonts w:ascii="Arial" w:eastAsia="Arial" w:hAnsi="Arial" w:cs="Arial"/>
          <w:color w:val="000000"/>
        </w:rPr>
        <w:t>A.L.R. Index, Associations and Clubs</w:t>
      </w:r>
    </w:p>
    <w:p w:rsidR="007A6EB4" w:rsidRDefault="006F3363">
      <w:pPr>
        <w:spacing w:before="120" w:line="300" w:lineRule="atLeast"/>
      </w:pPr>
      <w:r>
        <w:rPr>
          <w:rFonts w:ascii="Arial" w:eastAsia="Arial" w:hAnsi="Arial" w:cs="Arial"/>
          <w:color w:val="000000"/>
        </w:rPr>
        <w:t>A.L.R. Index, Civil Rights and D</w:t>
      </w:r>
      <w:r>
        <w:rPr>
          <w:rFonts w:ascii="Arial" w:eastAsia="Arial" w:hAnsi="Arial" w:cs="Arial"/>
          <w:color w:val="000000"/>
        </w:rPr>
        <w:t>iscrimination</w:t>
      </w:r>
    </w:p>
    <w:p w:rsidR="007A6EB4" w:rsidRDefault="006F3363">
      <w:pPr>
        <w:spacing w:before="120" w:line="300" w:lineRule="atLeast"/>
      </w:pPr>
      <w:r>
        <w:rPr>
          <w:rFonts w:ascii="Arial" w:eastAsia="Arial" w:hAnsi="Arial" w:cs="Arial"/>
          <w:color w:val="000000"/>
        </w:rPr>
        <w:t>A.L.R. Index, Insurance and Insurance Companies</w:t>
      </w:r>
    </w:p>
    <w:p w:rsidR="007A6EB4" w:rsidRDefault="006F3363">
      <w:pPr>
        <w:spacing w:before="120" w:line="300" w:lineRule="atLeast"/>
      </w:pPr>
      <w:r>
        <w:rPr>
          <w:rFonts w:ascii="Arial" w:eastAsia="Arial" w:hAnsi="Arial" w:cs="Arial"/>
          <w:color w:val="000000"/>
        </w:rPr>
        <w:t>West's A.L.R. Digest, Associations [westkey]7</w:t>
      </w:r>
    </w:p>
    <w:p w:rsidR="007A6EB4" w:rsidRDefault="006F3363">
      <w:pPr>
        <w:spacing w:before="120" w:line="300" w:lineRule="atLeast"/>
      </w:pPr>
      <w:r>
        <w:rPr>
          <w:rFonts w:ascii="Arial" w:eastAsia="Arial" w:hAnsi="Arial" w:cs="Arial"/>
          <w:color w:val="000000"/>
        </w:rPr>
        <w:t>West's A.L.R. Digest, Civil Rights [westkey]1009 to 1011, 1013 to 1015</w:t>
      </w:r>
    </w:p>
    <w:p w:rsidR="007A6EB4" w:rsidRDefault="006F3363">
      <w:pPr>
        <w:spacing w:before="120" w:line="300" w:lineRule="atLeast"/>
      </w:pPr>
      <w:r>
        <w:rPr>
          <w:rFonts w:ascii="Arial" w:eastAsia="Arial" w:hAnsi="Arial" w:cs="Arial"/>
          <w:color w:val="000000"/>
        </w:rPr>
        <w:t>West's A.L.R. Digest, Clubs [westkey]5</w:t>
      </w:r>
    </w:p>
    <w:p w:rsidR="007A6EB4" w:rsidRDefault="006F3363">
      <w:pPr>
        <w:spacing w:before="120" w:line="300" w:lineRule="atLeast"/>
      </w:pPr>
      <w:r>
        <w:rPr>
          <w:rFonts w:ascii="Arial" w:eastAsia="Arial" w:hAnsi="Arial" w:cs="Arial"/>
          <w:color w:val="000000"/>
        </w:rPr>
        <w:lastRenderedPageBreak/>
        <w:t xml:space="preserve">West's A.L.R. Digest, </w:t>
      </w:r>
      <w:r>
        <w:rPr>
          <w:rFonts w:ascii="Arial" w:eastAsia="Arial" w:hAnsi="Arial" w:cs="Arial"/>
          <w:color w:val="000000"/>
        </w:rPr>
        <w:t>Insurance [westkey]1518 to 1524</w:t>
      </w:r>
    </w:p>
    <w:p w:rsidR="007A6EB4" w:rsidRDefault="006F3363">
      <w:pPr>
        <w:spacing w:before="120" w:line="300" w:lineRule="atLeast"/>
      </w:pPr>
      <w:r>
        <w:rPr>
          <w:rFonts w:ascii="Arial" w:eastAsia="Arial" w:hAnsi="Arial" w:cs="Arial"/>
          <w:color w:val="000000"/>
        </w:rPr>
        <w:t>Am. Jur. 2d, Civil Rights §§ 233 to 240, 341</w:t>
      </w:r>
    </w:p>
    <w:p w:rsidR="007A6EB4" w:rsidRDefault="006F3363">
      <w:pPr>
        <w:spacing w:before="120" w:line="300" w:lineRule="atLeast"/>
      </w:pPr>
      <w:r>
        <w:rPr>
          <w:rFonts w:ascii="Arial" w:eastAsia="Arial" w:hAnsi="Arial" w:cs="Arial"/>
          <w:color w:val="000000"/>
        </w:rPr>
        <w:t>Am. Jur. 2d, Insurance § 551</w:t>
      </w:r>
    </w:p>
    <w:p w:rsidR="007A6EB4" w:rsidRDefault="006F3363">
      <w:pPr>
        <w:spacing w:before="120" w:line="300" w:lineRule="atLeast"/>
      </w:pPr>
      <w:r>
        <w:rPr>
          <w:rFonts w:ascii="Arial" w:eastAsia="Arial" w:hAnsi="Arial" w:cs="Arial"/>
          <w:color w:val="000000"/>
        </w:rPr>
        <w:t>C.J.S., Civil Rights §§ 96, 97, 303</w:t>
      </w:r>
    </w:p>
    <w:p w:rsidR="007A6EB4" w:rsidRDefault="006F3363">
      <w:pPr>
        <w:spacing w:before="120" w:line="300" w:lineRule="atLeast"/>
      </w:pPr>
      <w:r>
        <w:rPr>
          <w:rFonts w:ascii="Arial" w:eastAsia="Arial" w:hAnsi="Arial" w:cs="Arial"/>
          <w:color w:val="000000"/>
        </w:rPr>
        <w:t>C.J.S., Insurance § 43</w:t>
      </w:r>
    </w:p>
    <w:p w:rsidR="007A6EB4" w:rsidRDefault="006F3363">
      <w:pPr>
        <w:spacing w:before="120" w:line="300" w:lineRule="atLeast"/>
      </w:pPr>
      <w:r>
        <w:rPr>
          <w:rFonts w:ascii="Arial" w:eastAsia="Arial" w:hAnsi="Arial" w:cs="Arial"/>
          <w:color w:val="000000"/>
        </w:rPr>
        <w:t>Am. Jur. Legal Forms 2d § 27:138</w:t>
      </w:r>
    </w:p>
    <w:p w:rsidR="007A6EB4" w:rsidRDefault="006F3363">
      <w:pPr>
        <w:spacing w:before="120" w:line="300" w:lineRule="atLeast"/>
      </w:pPr>
      <w:r>
        <w:rPr>
          <w:rFonts w:ascii="Arial" w:eastAsia="Arial" w:hAnsi="Arial" w:cs="Arial"/>
          <w:color w:val="000000"/>
        </w:rPr>
        <w:t xml:space="preserve">West's Key Number Digest, Civil Rights </w:t>
      </w:r>
      <w:r>
        <w:rPr>
          <w:rFonts w:ascii="Arial" w:eastAsia="Arial" w:hAnsi="Arial" w:cs="Arial"/>
          <w:color w:val="000000"/>
        </w:rPr>
        <w:t>[westkey]1015</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65" style="position:absolute;left:0;text-align:left;z-index:251839488;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65"/>
          <w:headerReference w:type="default" r:id="rId266"/>
          <w:footerReference w:type="even" r:id="rId267"/>
          <w:footerReference w:type="default" r:id="rId268"/>
          <w:headerReference w:type="first" r:id="rId269"/>
          <w:footerReference w:type="first" r:id="rId270"/>
          <w:pgSz w:w="12240" w:h="15840"/>
          <w:pgMar w:top="840" w:right="1000" w:bottom="840" w:left="1000" w:header="400" w:footer="400" w:gutter="0"/>
          <w:cols w:space="720"/>
          <w:titlePg/>
        </w:sectPr>
      </w:pPr>
    </w:p>
    <w:p w:rsidR="007A6EB4" w:rsidRDefault="007A6EB4">
      <w:bookmarkStart w:id="44" w:name="Bookmark_44"/>
      <w:bookmarkEnd w:id="44"/>
    </w:p>
    <w:p w:rsidR="007A6EB4" w:rsidRDefault="006F3363">
      <w:r>
        <w:pict>
          <v:shape id="_x0000_i1068"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43</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 xml:space="preserve">Florida </w:t>
      </w:r>
      <w:r>
        <w:rPr>
          <w:rFonts w:ascii="Arial" w:eastAsia="Arial" w:hAnsi="Arial" w:cs="Arial"/>
          <w:b/>
          <w:i/>
          <w:color w:val="000000"/>
          <w:sz w:val="22"/>
        </w:rPr>
        <w:t>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D. Other Protection Against Discriminatory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67" style="position:absolute;z-index:25170227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43 Providing benefits of displaced-homemakers' programs</w:t>
      </w:r>
    </w:p>
    <w:p w:rsidR="007A6EB4" w:rsidRDefault="006F3363">
      <w:pPr>
        <w:spacing w:line="60" w:lineRule="exact"/>
      </w:pPr>
      <w:r>
        <w:pict>
          <v:line id="_x0000_s1268" style="position:absolute;z-index:25174835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Discrimination on the basis of sex, </w:t>
      </w:r>
      <w:r>
        <w:rPr>
          <w:rFonts w:ascii="Arial" w:eastAsia="Arial" w:hAnsi="Arial" w:cs="Arial"/>
          <w:color w:val="000000"/>
        </w:rPr>
        <w:t>age, race, color, religion, or national origin when determining the persons who may participate in or receive the benefits of the state displaced-homemakers' programs is expressly prohibited.</w:t>
      </w:r>
      <w:r>
        <w:rPr>
          <w:rFonts w:ascii="Arial" w:eastAsia="Arial" w:hAnsi="Arial" w:cs="Arial"/>
          <w:vertAlign w:val="superscript"/>
        </w:rPr>
        <w:footnoteReference w:customMarkFollows="1" w:id="355"/>
        <w:t>n1</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69" style="position:absolute;z-index:251794432"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Associations [westkey]</w:t>
      </w:r>
      <w:r>
        <w:rPr>
          <w:rFonts w:ascii="Arial" w:eastAsia="Arial" w:hAnsi="Arial" w:cs="Arial"/>
          <w:color w:val="000000"/>
        </w:rPr>
        <w:t>7</w:t>
      </w:r>
    </w:p>
    <w:p w:rsidR="007A6EB4" w:rsidRDefault="006F3363">
      <w:pPr>
        <w:spacing w:before="120" w:line="300" w:lineRule="atLeast"/>
      </w:pPr>
      <w:r>
        <w:rPr>
          <w:rFonts w:ascii="Arial" w:eastAsia="Arial" w:hAnsi="Arial" w:cs="Arial"/>
          <w:color w:val="000000"/>
        </w:rPr>
        <w:t>West's Key Number Digest, Civil Rights [westkey]1009 to 1011, 1013 to 1015</w:t>
      </w:r>
    </w:p>
    <w:p w:rsidR="007A6EB4" w:rsidRDefault="006F3363">
      <w:pPr>
        <w:spacing w:before="120" w:line="300" w:lineRule="atLeast"/>
      </w:pPr>
      <w:r>
        <w:rPr>
          <w:rFonts w:ascii="Arial" w:eastAsia="Arial" w:hAnsi="Arial" w:cs="Arial"/>
          <w:color w:val="000000"/>
        </w:rPr>
        <w:t>West's Key Number Digest, Clubs [westkey]5</w:t>
      </w:r>
    </w:p>
    <w:p w:rsidR="007A6EB4" w:rsidRDefault="006F3363">
      <w:pPr>
        <w:spacing w:before="120" w:line="300" w:lineRule="atLeast"/>
      </w:pPr>
      <w:r>
        <w:rPr>
          <w:rFonts w:ascii="Arial" w:eastAsia="Arial" w:hAnsi="Arial" w:cs="Arial"/>
          <w:color w:val="000000"/>
        </w:rPr>
        <w:t>West's Key Number Digest, Insurance [westkey]1518 to 1524</w:t>
      </w:r>
    </w:p>
    <w:p w:rsidR="007A6EB4" w:rsidRDefault="006F3363">
      <w:pPr>
        <w:spacing w:before="120" w:line="300" w:lineRule="atLeast"/>
      </w:pPr>
      <w:r>
        <w:rPr>
          <w:rFonts w:ascii="Arial" w:eastAsia="Arial" w:hAnsi="Arial" w:cs="Arial"/>
          <w:color w:val="000000"/>
        </w:rPr>
        <w:t>A.L.R. Index, Associations and Clubs</w:t>
      </w:r>
    </w:p>
    <w:p w:rsidR="007A6EB4" w:rsidRDefault="006F3363">
      <w:pPr>
        <w:spacing w:before="120" w:line="300" w:lineRule="atLeast"/>
      </w:pPr>
      <w:r>
        <w:rPr>
          <w:rFonts w:ascii="Arial" w:eastAsia="Arial" w:hAnsi="Arial" w:cs="Arial"/>
          <w:color w:val="000000"/>
        </w:rPr>
        <w:t xml:space="preserve">A.L.R. Index, Civil Rights and </w:t>
      </w:r>
      <w:r>
        <w:rPr>
          <w:rFonts w:ascii="Arial" w:eastAsia="Arial" w:hAnsi="Arial" w:cs="Arial"/>
          <w:color w:val="000000"/>
        </w:rPr>
        <w:t>Discrimination</w:t>
      </w:r>
    </w:p>
    <w:p w:rsidR="007A6EB4" w:rsidRDefault="006F3363">
      <w:pPr>
        <w:spacing w:before="120" w:line="300" w:lineRule="atLeast"/>
      </w:pPr>
      <w:r>
        <w:rPr>
          <w:rFonts w:ascii="Arial" w:eastAsia="Arial" w:hAnsi="Arial" w:cs="Arial"/>
          <w:color w:val="000000"/>
        </w:rPr>
        <w:t>A.L.R. Index, Insurance and Insurance Companies</w:t>
      </w:r>
    </w:p>
    <w:p w:rsidR="007A6EB4" w:rsidRDefault="006F3363">
      <w:pPr>
        <w:spacing w:before="120" w:line="300" w:lineRule="atLeast"/>
      </w:pPr>
      <w:r>
        <w:rPr>
          <w:rFonts w:ascii="Arial" w:eastAsia="Arial" w:hAnsi="Arial" w:cs="Arial"/>
          <w:color w:val="000000"/>
        </w:rPr>
        <w:t>West's A.L.R. Digest, Associations [westkey]7</w:t>
      </w:r>
    </w:p>
    <w:p w:rsidR="007A6EB4" w:rsidRDefault="006F3363">
      <w:pPr>
        <w:spacing w:before="120" w:line="300" w:lineRule="atLeast"/>
      </w:pPr>
      <w:r>
        <w:rPr>
          <w:rFonts w:ascii="Arial" w:eastAsia="Arial" w:hAnsi="Arial" w:cs="Arial"/>
          <w:color w:val="000000"/>
        </w:rPr>
        <w:t>West's A.L.R. Digest, Civil Rights [westkey]1009 to 1011, 1013 to 1015</w:t>
      </w:r>
    </w:p>
    <w:p w:rsidR="007A6EB4" w:rsidRDefault="006F3363">
      <w:pPr>
        <w:spacing w:before="120" w:line="300" w:lineRule="atLeast"/>
      </w:pPr>
      <w:r>
        <w:rPr>
          <w:rFonts w:ascii="Arial" w:eastAsia="Arial" w:hAnsi="Arial" w:cs="Arial"/>
          <w:color w:val="000000"/>
        </w:rPr>
        <w:t>West's A.L.R. Digest, Clubs [westkey]5</w:t>
      </w:r>
    </w:p>
    <w:p w:rsidR="007A6EB4" w:rsidRDefault="006F3363">
      <w:pPr>
        <w:spacing w:before="120" w:line="300" w:lineRule="atLeast"/>
      </w:pPr>
      <w:r>
        <w:rPr>
          <w:rFonts w:ascii="Arial" w:eastAsia="Arial" w:hAnsi="Arial" w:cs="Arial"/>
          <w:color w:val="000000"/>
        </w:rPr>
        <w:t>West's A.L.R. Digest, Insurance [west</w:t>
      </w:r>
      <w:r>
        <w:rPr>
          <w:rFonts w:ascii="Arial" w:eastAsia="Arial" w:hAnsi="Arial" w:cs="Arial"/>
          <w:color w:val="000000"/>
        </w:rPr>
        <w:t>key]1518 to 1524</w:t>
      </w:r>
    </w:p>
    <w:p w:rsidR="007A6EB4" w:rsidRDefault="006F3363">
      <w:pPr>
        <w:spacing w:before="120" w:line="300" w:lineRule="atLeast"/>
      </w:pPr>
      <w:r>
        <w:rPr>
          <w:rFonts w:ascii="Arial" w:eastAsia="Arial" w:hAnsi="Arial" w:cs="Arial"/>
          <w:color w:val="000000"/>
        </w:rPr>
        <w:t>Am. Jur. 2d, Civil Rights §§ 233 to 240, 341</w:t>
      </w:r>
    </w:p>
    <w:p w:rsidR="007A6EB4" w:rsidRDefault="006F3363">
      <w:pPr>
        <w:spacing w:before="120" w:line="300" w:lineRule="atLeast"/>
      </w:pPr>
      <w:r>
        <w:rPr>
          <w:rFonts w:ascii="Arial" w:eastAsia="Arial" w:hAnsi="Arial" w:cs="Arial"/>
          <w:color w:val="000000"/>
        </w:rPr>
        <w:lastRenderedPageBreak/>
        <w:t>Am. Jur. 2d, Insurance § 551</w:t>
      </w:r>
    </w:p>
    <w:p w:rsidR="007A6EB4" w:rsidRDefault="006F3363">
      <w:pPr>
        <w:spacing w:before="120" w:line="300" w:lineRule="atLeast"/>
      </w:pPr>
      <w:r>
        <w:rPr>
          <w:rFonts w:ascii="Arial" w:eastAsia="Arial" w:hAnsi="Arial" w:cs="Arial"/>
          <w:color w:val="000000"/>
        </w:rPr>
        <w:t>C.J.S., Civil Rights §§ 96, 97, 303</w:t>
      </w:r>
    </w:p>
    <w:p w:rsidR="007A6EB4" w:rsidRDefault="006F3363">
      <w:pPr>
        <w:spacing w:before="120" w:line="300" w:lineRule="atLeast"/>
      </w:pPr>
      <w:r>
        <w:rPr>
          <w:rFonts w:ascii="Arial" w:eastAsia="Arial" w:hAnsi="Arial" w:cs="Arial"/>
          <w:color w:val="000000"/>
        </w:rPr>
        <w:t>C.J.S., Insurance § 43</w:t>
      </w:r>
    </w:p>
    <w:p w:rsidR="007A6EB4" w:rsidRDefault="006F3363">
      <w:pPr>
        <w:spacing w:before="120" w:line="300" w:lineRule="atLeast"/>
      </w:pPr>
      <w:r>
        <w:rPr>
          <w:rFonts w:ascii="Arial" w:eastAsia="Arial" w:hAnsi="Arial" w:cs="Arial"/>
          <w:color w:val="000000"/>
        </w:rPr>
        <w:t>Am. Jur. Legal Forms 2d § 27:138</w:t>
      </w:r>
    </w:p>
    <w:p w:rsidR="007A6EB4" w:rsidRDefault="006F3363">
      <w:pPr>
        <w:spacing w:before="120" w:line="300" w:lineRule="atLeast"/>
      </w:pPr>
      <w:r>
        <w:rPr>
          <w:rFonts w:ascii="Arial" w:eastAsia="Arial" w:hAnsi="Arial" w:cs="Arial"/>
          <w:color w:val="000000"/>
        </w:rPr>
        <w:t>West's Key Number Digest, Civil Rights [westkey]1009 to 1011</w:t>
      </w:r>
    </w:p>
    <w:p w:rsidR="007A6EB4" w:rsidRDefault="006F3363">
      <w:pPr>
        <w:keepNext/>
        <w:spacing w:before="240" w:line="340" w:lineRule="atLeast"/>
      </w:pPr>
      <w:r>
        <w:br/>
      </w:r>
      <w:r>
        <w:rPr>
          <w:rFonts w:ascii="Arial" w:eastAsia="Arial" w:hAnsi="Arial" w:cs="Arial"/>
          <w:b/>
          <w:color w:val="000000"/>
          <w:sz w:val="28"/>
        </w:rPr>
        <w:t>Supplement</w:t>
      </w:r>
    </w:p>
    <w:p w:rsidR="007A6EB4" w:rsidRDefault="006F3363">
      <w:pPr>
        <w:spacing w:line="60" w:lineRule="exact"/>
      </w:pPr>
      <w:r>
        <w:pict>
          <v:line id="_x0000_s1270" style="position:absolute;z-index:251840512"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Statutes</w:t>
      </w:r>
    </w:p>
    <w:p w:rsidR="007A6EB4" w:rsidRDefault="006F3363">
      <w:pPr>
        <w:spacing w:before="60" w:line="300" w:lineRule="atLeast"/>
        <w:jc w:val="both"/>
      </w:pPr>
      <w:r>
        <w:rPr>
          <w:rFonts w:ascii="Arial" w:eastAsia="Arial" w:hAnsi="Arial" w:cs="Arial"/>
          <w:color w:val="000000"/>
        </w:rPr>
        <w:t>§ 446.51, Fla. Stat. was repealed effective July 1, 2017.</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sectPr w:rsidR="007A6EB4">
          <w:type w:val="continuous"/>
          <w:pgSz w:w="12240" w:h="15840"/>
          <w:pgMar w:top="840" w:right="1000" w:bottom="840" w:left="1000" w:header="400" w:footer="400" w:gutter="0"/>
          <w:cols w:space="720"/>
        </w:sectPr>
      </w:pPr>
      <w:r>
        <w:br/>
      </w:r>
      <w:r>
        <w:pict>
          <v:line id="_x0000_s1271" style="position:absolute;left:0;text-align:left;z-index:251869184;mso-position-horizontal-relative:text;mso-position-vertical-relative:text" from="0,10pt" to="512pt,10pt" strokeweight="1pt"/>
        </w:pict>
      </w:r>
      <w:r>
        <w:rPr>
          <w:b/>
          <w:color w:val="767676"/>
          <w:sz w:val="16"/>
        </w:rPr>
        <w:t>End of Document</w:t>
      </w:r>
    </w:p>
    <w:p w:rsidR="007A6EB4" w:rsidRDefault="007A6EB4">
      <w:pPr>
        <w:sectPr w:rsidR="007A6EB4">
          <w:headerReference w:type="even" r:id="rId271"/>
          <w:headerReference w:type="default" r:id="rId272"/>
          <w:footerReference w:type="even" r:id="rId273"/>
          <w:footerReference w:type="default" r:id="rId274"/>
          <w:headerReference w:type="first" r:id="rId275"/>
          <w:footerReference w:type="first" r:id="rId276"/>
          <w:pgSz w:w="12240" w:h="15840"/>
          <w:pgMar w:top="840" w:right="1000" w:bottom="840" w:left="1000" w:header="400" w:footer="400" w:gutter="0"/>
          <w:cols w:space="720"/>
          <w:titlePg/>
        </w:sectPr>
      </w:pPr>
    </w:p>
    <w:p w:rsidR="007A6EB4" w:rsidRDefault="007A6EB4">
      <w:bookmarkStart w:id="45" w:name="Bookmark_45"/>
      <w:bookmarkEnd w:id="45"/>
    </w:p>
    <w:p w:rsidR="007A6EB4" w:rsidRDefault="006F3363">
      <w:r>
        <w:pict>
          <v:shape id="_x0000_i1069" type="#_x0000_t75" alt="LexisNexis®" style="width:147.75pt;height:30pt">
            <v:imagedata r:id="rId12" o:title=""/>
          </v:shape>
        </w:pict>
      </w:r>
      <w:r>
        <w:cr/>
      </w:r>
    </w:p>
    <w:p w:rsidR="007A6EB4" w:rsidRDefault="006F3363">
      <w:pPr>
        <w:spacing w:before="240" w:after="200" w:line="340" w:lineRule="atLeast"/>
        <w:jc w:val="center"/>
        <w:outlineLvl w:val="0"/>
        <w:rPr>
          <w:rFonts w:ascii="Arial" w:hAnsi="Arial" w:cs="Arial"/>
          <w:b/>
          <w:bCs/>
          <w:kern w:val="32"/>
          <w:sz w:val="32"/>
          <w:szCs w:val="32"/>
        </w:rPr>
      </w:pPr>
      <w:r>
        <w:rPr>
          <w:rFonts w:ascii="Arial" w:eastAsia="Arial" w:hAnsi="Arial" w:cs="Arial"/>
          <w:b/>
          <w:bCs/>
          <w:color w:val="000000"/>
          <w:kern w:val="32"/>
          <w:sz w:val="28"/>
          <w:szCs w:val="32"/>
        </w:rPr>
        <w:t>9 Fla Jur Civil Rights § 44</w:t>
      </w:r>
    </w:p>
    <w:p w:rsidR="007A6EB4" w:rsidRDefault="007A6EB4">
      <w:pPr>
        <w:spacing w:line="240" w:lineRule="atLeast"/>
        <w:jc w:val="both"/>
      </w:pPr>
    </w:p>
    <w:p w:rsidR="007A6EB4" w:rsidRDefault="006F3363">
      <w:pPr>
        <w:spacing w:before="200" w:line="280" w:lineRule="atLeast"/>
      </w:pPr>
      <w:r>
        <w:rPr>
          <w:rFonts w:ascii="Arial" w:eastAsia="Arial" w:hAnsi="Arial" w:cs="Arial"/>
          <w:b/>
          <w:i/>
          <w:color w:val="000000"/>
          <w:sz w:val="22"/>
        </w:rPr>
        <w:t>Florida Jurisprudence 2d</w:t>
      </w:r>
      <w:r>
        <w:rPr>
          <w:rFonts w:ascii="Arial" w:eastAsia="Arial" w:hAnsi="Arial" w:cs="Arial"/>
          <w:b/>
          <w:color w:val="000000"/>
          <w:sz w:val="22"/>
        </w:rPr>
        <w:t xml:space="preserve">  &gt;  </w:t>
      </w:r>
      <w:r>
        <w:rPr>
          <w:rFonts w:ascii="Arial" w:eastAsia="Arial" w:hAnsi="Arial" w:cs="Arial"/>
          <w:b/>
          <w:i/>
          <w:color w:val="000000"/>
          <w:sz w:val="22"/>
        </w:rPr>
        <w:t>Civil Rights</w:t>
      </w:r>
      <w:r>
        <w:rPr>
          <w:rFonts w:ascii="Arial" w:eastAsia="Arial" w:hAnsi="Arial" w:cs="Arial"/>
          <w:b/>
          <w:color w:val="000000"/>
          <w:sz w:val="22"/>
        </w:rPr>
        <w:t xml:space="preserve">  &gt;  </w:t>
      </w:r>
      <w:r>
        <w:rPr>
          <w:rFonts w:ascii="Arial" w:eastAsia="Arial" w:hAnsi="Arial" w:cs="Arial"/>
          <w:b/>
          <w:i/>
          <w:color w:val="000000"/>
          <w:sz w:val="22"/>
        </w:rPr>
        <w:t>II. State Regulation</w:t>
      </w:r>
      <w:r>
        <w:rPr>
          <w:rFonts w:ascii="Arial" w:eastAsia="Arial" w:hAnsi="Arial" w:cs="Arial"/>
          <w:b/>
          <w:color w:val="000000"/>
          <w:sz w:val="22"/>
        </w:rPr>
        <w:t xml:space="preserve">  &gt;  </w:t>
      </w:r>
      <w:r>
        <w:rPr>
          <w:rFonts w:ascii="Arial" w:eastAsia="Arial" w:hAnsi="Arial" w:cs="Arial"/>
          <w:b/>
          <w:i/>
          <w:color w:val="000000"/>
          <w:sz w:val="22"/>
        </w:rPr>
        <w:t>D. Other Protection Against Discriminatory Practices</w:t>
      </w:r>
    </w:p>
    <w:p w:rsidR="007A6EB4" w:rsidRDefault="006F3363">
      <w:pPr>
        <w:keepNext/>
        <w:spacing w:before="240" w:line="340" w:lineRule="atLeast"/>
      </w:pPr>
      <w:r>
        <w:br/>
      </w:r>
      <w:r>
        <w:rPr>
          <w:rFonts w:ascii="Arial" w:eastAsia="Arial" w:hAnsi="Arial" w:cs="Arial"/>
          <w:b/>
          <w:color w:val="000000"/>
          <w:sz w:val="28"/>
        </w:rPr>
        <w:t>Author</w:t>
      </w:r>
    </w:p>
    <w:p w:rsidR="007A6EB4" w:rsidRDefault="006F3363">
      <w:pPr>
        <w:spacing w:line="60" w:lineRule="exact"/>
      </w:pPr>
      <w:r>
        <w:pict>
          <v:line id="_x0000_s1273" style="position:absolute;z-index:25170329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Rachel M. Kane, M.A., J.D.</w:t>
      </w:r>
    </w:p>
    <w:p w:rsidR="007A6EB4" w:rsidRDefault="006F3363">
      <w:pPr>
        <w:keepNext/>
        <w:spacing w:before="240" w:line="340" w:lineRule="atLeast"/>
      </w:pPr>
      <w:r>
        <w:rPr>
          <w:rFonts w:ascii="Arial" w:eastAsia="Arial" w:hAnsi="Arial" w:cs="Arial"/>
          <w:b/>
          <w:color w:val="000000"/>
          <w:sz w:val="28"/>
        </w:rPr>
        <w:t xml:space="preserve">§ 44 Membership in </w:t>
      </w:r>
      <w:r>
        <w:rPr>
          <w:rFonts w:ascii="Arial" w:eastAsia="Arial" w:hAnsi="Arial" w:cs="Arial"/>
          <w:b/>
          <w:color w:val="000000"/>
          <w:sz w:val="28"/>
        </w:rPr>
        <w:t>clubs</w:t>
      </w:r>
    </w:p>
    <w:p w:rsidR="007A6EB4" w:rsidRDefault="006F3363">
      <w:pPr>
        <w:spacing w:line="60" w:lineRule="exact"/>
      </w:pPr>
      <w:r>
        <w:pict>
          <v:line id="_x0000_s1274" style="position:absolute;z-index:251749376" from="0,2pt" to="512pt,2pt" strokecolor="#009ddb" strokeweight="2pt">
            <w10:wrap type="topAndBottom"/>
          </v:line>
        </w:pict>
      </w:r>
    </w:p>
    <w:p w:rsidR="007A6EB4" w:rsidRDefault="007A6EB4"/>
    <w:p w:rsidR="007A6EB4" w:rsidRDefault="006F3363">
      <w:pPr>
        <w:spacing w:before="200" w:line="300" w:lineRule="atLeast"/>
        <w:jc w:val="both"/>
      </w:pPr>
      <w:r>
        <w:rPr>
          <w:rFonts w:ascii="Arial" w:eastAsia="Arial" w:hAnsi="Arial" w:cs="Arial"/>
          <w:color w:val="000000"/>
        </w:rPr>
        <w:t xml:space="preserve">It is unlawful for a person to discriminate against any individual because of race, color, religion, gender, national origin, handicap, age above the age of 21, or marital status in evaluating an application for membership in a club that has more </w:t>
      </w:r>
      <w:r>
        <w:rPr>
          <w:rFonts w:ascii="Arial" w:eastAsia="Arial" w:hAnsi="Arial" w:cs="Arial"/>
          <w:color w:val="000000"/>
        </w:rPr>
        <w:t>than 400 members, that provides regular meal service, and that regularly receives payment for dues, fees, use of space, facilities, services, meals, or beverages from nonmembers for business purposes.</w:t>
      </w:r>
      <w:r>
        <w:rPr>
          <w:rFonts w:ascii="Arial" w:eastAsia="Arial" w:hAnsi="Arial" w:cs="Arial"/>
          <w:vertAlign w:val="superscript"/>
        </w:rPr>
        <w:footnoteReference w:customMarkFollows="1" w:id="356"/>
        <w:t>n1</w:t>
      </w:r>
      <w:r>
        <w:rPr>
          <w:rFonts w:ascii="Arial" w:eastAsia="Arial" w:hAnsi="Arial" w:cs="Arial"/>
          <w:color w:val="000000"/>
        </w:rPr>
        <w:t xml:space="preserve"> Any person who has been discriminated against in this</w:t>
      </w:r>
      <w:r>
        <w:rPr>
          <w:rFonts w:ascii="Arial" w:eastAsia="Arial" w:hAnsi="Arial" w:cs="Arial"/>
          <w:color w:val="000000"/>
        </w:rPr>
        <w:t xml:space="preserve"> manner may file a complaint with the Commission on Human Rights or the Attorney General's Office of Civil Rights.</w:t>
      </w:r>
      <w:r>
        <w:rPr>
          <w:rFonts w:ascii="Arial" w:eastAsia="Arial" w:hAnsi="Arial" w:cs="Arial"/>
          <w:vertAlign w:val="superscript"/>
        </w:rPr>
        <w:footnoteReference w:customMarkFollows="1" w:id="357"/>
        <w:t>n2</w:t>
      </w:r>
    </w:p>
    <w:p w:rsidR="007A6EB4" w:rsidRDefault="006F3363">
      <w:pPr>
        <w:spacing w:before="200" w:line="300" w:lineRule="atLeast"/>
        <w:jc w:val="both"/>
      </w:pPr>
      <w:r>
        <w:rPr>
          <w:rFonts w:ascii="Arial" w:eastAsia="Arial" w:hAnsi="Arial" w:cs="Arial"/>
          <w:color w:val="000000"/>
        </w:rPr>
        <w:t>Observation: The term "public accommodations" as defined in the Florida Civil Rights Act does not include lodge halls or other similar faci</w:t>
      </w:r>
      <w:r>
        <w:rPr>
          <w:rFonts w:ascii="Arial" w:eastAsia="Arial" w:hAnsi="Arial" w:cs="Arial"/>
          <w:color w:val="000000"/>
        </w:rPr>
        <w:t>lities of private organizations that are made available for public use occasionally or periodically.</w:t>
      </w:r>
      <w:r>
        <w:rPr>
          <w:rFonts w:ascii="Arial" w:eastAsia="Arial" w:hAnsi="Arial" w:cs="Arial"/>
          <w:vertAlign w:val="superscript"/>
        </w:rPr>
        <w:footnoteReference w:customMarkFollows="1" w:id="358"/>
        <w:t>n3</w:t>
      </w:r>
    </w:p>
    <w:p w:rsidR="007A6EB4" w:rsidRDefault="006F3363">
      <w:pPr>
        <w:keepNext/>
        <w:spacing w:before="240" w:line="340" w:lineRule="atLeast"/>
      </w:pPr>
      <w:r>
        <w:br/>
      </w:r>
      <w:r>
        <w:rPr>
          <w:rFonts w:ascii="Arial" w:eastAsia="Arial" w:hAnsi="Arial" w:cs="Arial"/>
          <w:b/>
          <w:color w:val="000000"/>
          <w:sz w:val="28"/>
        </w:rPr>
        <w:t>Reference</w:t>
      </w:r>
    </w:p>
    <w:p w:rsidR="007A6EB4" w:rsidRDefault="006F3363">
      <w:pPr>
        <w:spacing w:line="60" w:lineRule="exact"/>
      </w:pPr>
      <w:r>
        <w:pict>
          <v:line id="_x0000_s1275" style="position:absolute;z-index:251795456" from="0,2pt" to="512pt,2pt" strokecolor="#009ddb" strokeweight="2pt">
            <w10:wrap type="topAndBottom"/>
          </v:line>
        </w:pict>
      </w:r>
    </w:p>
    <w:p w:rsidR="007A6EB4" w:rsidRDefault="007A6EB4">
      <w:pPr>
        <w:spacing w:line="120" w:lineRule="exact"/>
      </w:pPr>
    </w:p>
    <w:p w:rsidR="007A6EB4" w:rsidRDefault="006F3363">
      <w:pPr>
        <w:spacing w:before="120" w:line="300" w:lineRule="atLeast"/>
      </w:pPr>
      <w:r>
        <w:rPr>
          <w:rFonts w:ascii="Arial" w:eastAsia="Arial" w:hAnsi="Arial" w:cs="Arial"/>
          <w:color w:val="000000"/>
        </w:rPr>
        <w:t>West's Key Number Digest, Associations [westkey]7</w:t>
      </w:r>
    </w:p>
    <w:p w:rsidR="007A6EB4" w:rsidRDefault="006F3363">
      <w:pPr>
        <w:spacing w:before="120" w:line="300" w:lineRule="atLeast"/>
      </w:pPr>
      <w:r>
        <w:rPr>
          <w:rFonts w:ascii="Arial" w:eastAsia="Arial" w:hAnsi="Arial" w:cs="Arial"/>
          <w:color w:val="000000"/>
        </w:rPr>
        <w:t>West's Key Number Digest, Civil Rights [westkey]1009 to 1011, 1013 to 1015</w:t>
      </w:r>
    </w:p>
    <w:p w:rsidR="007A6EB4" w:rsidRDefault="006F3363">
      <w:pPr>
        <w:spacing w:before="120" w:line="300" w:lineRule="atLeast"/>
      </w:pPr>
      <w:r>
        <w:rPr>
          <w:rFonts w:ascii="Arial" w:eastAsia="Arial" w:hAnsi="Arial" w:cs="Arial"/>
          <w:color w:val="000000"/>
        </w:rPr>
        <w:t xml:space="preserve">West's Key </w:t>
      </w:r>
      <w:r>
        <w:rPr>
          <w:rFonts w:ascii="Arial" w:eastAsia="Arial" w:hAnsi="Arial" w:cs="Arial"/>
          <w:color w:val="000000"/>
        </w:rPr>
        <w:t>Number Digest, Clubs [westkey]5</w:t>
      </w:r>
    </w:p>
    <w:p w:rsidR="007A6EB4" w:rsidRDefault="006F3363">
      <w:pPr>
        <w:spacing w:before="120" w:line="300" w:lineRule="atLeast"/>
      </w:pPr>
      <w:r>
        <w:rPr>
          <w:rFonts w:ascii="Arial" w:eastAsia="Arial" w:hAnsi="Arial" w:cs="Arial"/>
          <w:color w:val="000000"/>
        </w:rPr>
        <w:lastRenderedPageBreak/>
        <w:t>West's Key Number Digest, Insurance [westkey]1518 to 1524</w:t>
      </w:r>
    </w:p>
    <w:p w:rsidR="007A6EB4" w:rsidRDefault="006F3363">
      <w:pPr>
        <w:spacing w:before="120" w:line="300" w:lineRule="atLeast"/>
      </w:pPr>
      <w:r>
        <w:rPr>
          <w:rFonts w:ascii="Arial" w:eastAsia="Arial" w:hAnsi="Arial" w:cs="Arial"/>
          <w:color w:val="000000"/>
        </w:rPr>
        <w:t>A.L.R. Index, Associations and Clubs</w:t>
      </w:r>
    </w:p>
    <w:p w:rsidR="007A6EB4" w:rsidRDefault="006F3363">
      <w:pPr>
        <w:spacing w:before="120" w:line="300" w:lineRule="atLeast"/>
      </w:pPr>
      <w:r>
        <w:rPr>
          <w:rFonts w:ascii="Arial" w:eastAsia="Arial" w:hAnsi="Arial" w:cs="Arial"/>
          <w:color w:val="000000"/>
        </w:rPr>
        <w:t>A.L.R. Index, Civil Rights and Discrimination</w:t>
      </w:r>
    </w:p>
    <w:p w:rsidR="007A6EB4" w:rsidRDefault="006F3363">
      <w:pPr>
        <w:spacing w:before="120" w:line="300" w:lineRule="atLeast"/>
      </w:pPr>
      <w:r>
        <w:rPr>
          <w:rFonts w:ascii="Arial" w:eastAsia="Arial" w:hAnsi="Arial" w:cs="Arial"/>
          <w:color w:val="000000"/>
        </w:rPr>
        <w:t>A.L.R. Index, Insurance and Insurance Companies</w:t>
      </w:r>
    </w:p>
    <w:p w:rsidR="007A6EB4" w:rsidRDefault="006F3363">
      <w:pPr>
        <w:spacing w:before="120" w:line="300" w:lineRule="atLeast"/>
      </w:pPr>
      <w:r>
        <w:rPr>
          <w:rFonts w:ascii="Arial" w:eastAsia="Arial" w:hAnsi="Arial" w:cs="Arial"/>
          <w:color w:val="000000"/>
        </w:rPr>
        <w:t xml:space="preserve">West's A.L.R. Digest, Associations </w:t>
      </w:r>
      <w:r>
        <w:rPr>
          <w:rFonts w:ascii="Arial" w:eastAsia="Arial" w:hAnsi="Arial" w:cs="Arial"/>
          <w:color w:val="000000"/>
        </w:rPr>
        <w:t>[westkey]7</w:t>
      </w:r>
    </w:p>
    <w:p w:rsidR="007A6EB4" w:rsidRDefault="006F3363">
      <w:pPr>
        <w:spacing w:before="120" w:line="300" w:lineRule="atLeast"/>
      </w:pPr>
      <w:r>
        <w:rPr>
          <w:rFonts w:ascii="Arial" w:eastAsia="Arial" w:hAnsi="Arial" w:cs="Arial"/>
          <w:color w:val="000000"/>
        </w:rPr>
        <w:t>West's A.L.R. Digest, Civil Rights [westkey]1009 to 1011, 1013 to 1015</w:t>
      </w:r>
    </w:p>
    <w:p w:rsidR="007A6EB4" w:rsidRDefault="006F3363">
      <w:pPr>
        <w:spacing w:before="120" w:line="300" w:lineRule="atLeast"/>
      </w:pPr>
      <w:r>
        <w:rPr>
          <w:rFonts w:ascii="Arial" w:eastAsia="Arial" w:hAnsi="Arial" w:cs="Arial"/>
          <w:color w:val="000000"/>
        </w:rPr>
        <w:t>West's A.L.R. Digest, Clubs [westkey]5</w:t>
      </w:r>
    </w:p>
    <w:p w:rsidR="007A6EB4" w:rsidRDefault="006F3363">
      <w:pPr>
        <w:spacing w:before="120" w:line="300" w:lineRule="atLeast"/>
      </w:pPr>
      <w:r>
        <w:rPr>
          <w:rFonts w:ascii="Arial" w:eastAsia="Arial" w:hAnsi="Arial" w:cs="Arial"/>
          <w:color w:val="000000"/>
        </w:rPr>
        <w:t>West's A.L.R. Digest, Insurance [westkey]1518 to 1524</w:t>
      </w:r>
    </w:p>
    <w:p w:rsidR="007A6EB4" w:rsidRDefault="006F3363">
      <w:pPr>
        <w:spacing w:before="120" w:line="300" w:lineRule="atLeast"/>
      </w:pPr>
      <w:r>
        <w:rPr>
          <w:rFonts w:ascii="Arial" w:eastAsia="Arial" w:hAnsi="Arial" w:cs="Arial"/>
          <w:color w:val="000000"/>
        </w:rPr>
        <w:t>Am. Jur. 2d, Civil Rights §§ 233 to 240, 341</w:t>
      </w:r>
    </w:p>
    <w:p w:rsidR="007A6EB4" w:rsidRDefault="006F3363">
      <w:pPr>
        <w:spacing w:before="120" w:line="300" w:lineRule="atLeast"/>
      </w:pPr>
      <w:r>
        <w:rPr>
          <w:rFonts w:ascii="Arial" w:eastAsia="Arial" w:hAnsi="Arial" w:cs="Arial"/>
          <w:color w:val="000000"/>
        </w:rPr>
        <w:t>Am. Jur. 2d, Insurance § 551</w:t>
      </w:r>
    </w:p>
    <w:p w:rsidR="007A6EB4" w:rsidRDefault="006F3363">
      <w:pPr>
        <w:spacing w:before="120" w:line="300" w:lineRule="atLeast"/>
      </w:pPr>
      <w:r>
        <w:rPr>
          <w:rFonts w:ascii="Arial" w:eastAsia="Arial" w:hAnsi="Arial" w:cs="Arial"/>
          <w:color w:val="000000"/>
        </w:rPr>
        <w:t>C.J.S.,</w:t>
      </w:r>
      <w:r>
        <w:rPr>
          <w:rFonts w:ascii="Arial" w:eastAsia="Arial" w:hAnsi="Arial" w:cs="Arial"/>
          <w:color w:val="000000"/>
        </w:rPr>
        <w:t xml:space="preserve"> Civil Rights §§ 96, 97, 303</w:t>
      </w:r>
    </w:p>
    <w:p w:rsidR="007A6EB4" w:rsidRDefault="006F3363">
      <w:pPr>
        <w:spacing w:before="120" w:line="300" w:lineRule="atLeast"/>
      </w:pPr>
      <w:r>
        <w:rPr>
          <w:rFonts w:ascii="Arial" w:eastAsia="Arial" w:hAnsi="Arial" w:cs="Arial"/>
          <w:color w:val="000000"/>
        </w:rPr>
        <w:t>C.J.S., Insurance § 43</w:t>
      </w:r>
    </w:p>
    <w:p w:rsidR="007A6EB4" w:rsidRDefault="006F3363">
      <w:pPr>
        <w:spacing w:before="120" w:line="300" w:lineRule="atLeast"/>
      </w:pPr>
      <w:r>
        <w:rPr>
          <w:rFonts w:ascii="Arial" w:eastAsia="Arial" w:hAnsi="Arial" w:cs="Arial"/>
          <w:color w:val="000000"/>
        </w:rPr>
        <w:t>Am. Jur. Legal Forms 2d § 27:138</w:t>
      </w:r>
    </w:p>
    <w:p w:rsidR="007A6EB4" w:rsidRDefault="006F3363">
      <w:pPr>
        <w:spacing w:before="120" w:line="300" w:lineRule="atLeast"/>
      </w:pPr>
      <w:r>
        <w:rPr>
          <w:rFonts w:ascii="Arial" w:eastAsia="Arial" w:hAnsi="Arial" w:cs="Arial"/>
          <w:color w:val="000000"/>
        </w:rPr>
        <w:t>West's Key Number Digest, Associations [westkey]7</w:t>
      </w:r>
    </w:p>
    <w:p w:rsidR="007A6EB4" w:rsidRDefault="006F3363">
      <w:pPr>
        <w:spacing w:before="120" w:line="300" w:lineRule="atLeast"/>
      </w:pPr>
      <w:r>
        <w:rPr>
          <w:rFonts w:ascii="Arial" w:eastAsia="Arial" w:hAnsi="Arial" w:cs="Arial"/>
          <w:color w:val="000000"/>
        </w:rPr>
        <w:t>West's Key Number Digest, Civil Rights [westkey]1009 to 1011, 1013, 1014</w:t>
      </w:r>
    </w:p>
    <w:p w:rsidR="007A6EB4" w:rsidRDefault="006F3363">
      <w:pPr>
        <w:spacing w:before="120" w:line="300" w:lineRule="atLeast"/>
      </w:pPr>
      <w:r>
        <w:rPr>
          <w:rFonts w:ascii="Arial" w:eastAsia="Arial" w:hAnsi="Arial" w:cs="Arial"/>
          <w:color w:val="000000"/>
        </w:rPr>
        <w:t xml:space="preserve">West's Key Number Digest, Clubs </w:t>
      </w:r>
      <w:r>
        <w:rPr>
          <w:rFonts w:ascii="Arial" w:eastAsia="Arial" w:hAnsi="Arial" w:cs="Arial"/>
          <w:color w:val="000000"/>
        </w:rPr>
        <w:t>[westkey]5</w:t>
      </w:r>
    </w:p>
    <w:p w:rsidR="007A6EB4" w:rsidRDefault="006F3363">
      <w:pPr>
        <w:spacing w:before="120" w:line="300" w:lineRule="atLeast"/>
      </w:pPr>
      <w:r>
        <w:rPr>
          <w:rFonts w:ascii="Arial" w:eastAsia="Arial" w:hAnsi="Arial" w:cs="Arial"/>
          <w:color w:val="000000"/>
        </w:rPr>
        <w:t>What Constitutes Private Club or Association Not Otherwise Open to Public that is Exempt from State Civil Rights Statute, 83 A.L.R.5th 467</w:t>
      </w:r>
    </w:p>
    <w:p w:rsidR="007A6EB4" w:rsidRDefault="006F3363">
      <w:pPr>
        <w:spacing w:before="120" w:line="300" w:lineRule="atLeast"/>
      </w:pPr>
      <w:r>
        <w:rPr>
          <w:rFonts w:ascii="Arial" w:eastAsia="Arial" w:hAnsi="Arial" w:cs="Arial"/>
          <w:color w:val="000000"/>
        </w:rPr>
        <w:t>Am. Jur. Legal Forms 2d § 27:138 (Eligibility and classification of members -- Provision against discrimin</w:t>
      </w:r>
      <w:r>
        <w:rPr>
          <w:rFonts w:ascii="Arial" w:eastAsia="Arial" w:hAnsi="Arial" w:cs="Arial"/>
          <w:color w:val="000000"/>
        </w:rPr>
        <w:t>ation)</w:t>
      </w:r>
    </w:p>
    <w:p w:rsidR="007A6EB4" w:rsidRDefault="006F3363">
      <w:pPr>
        <w:spacing w:before="240" w:line="300" w:lineRule="atLeast"/>
      </w:pPr>
      <w:r>
        <w:br/>
      </w:r>
      <w:r>
        <w:rPr>
          <w:rFonts w:ascii="Arial" w:eastAsia="Arial" w:hAnsi="Arial" w:cs="Arial"/>
          <w:b/>
          <w:color w:val="000000"/>
        </w:rPr>
        <w:t>Source:</w:t>
      </w:r>
      <w:r>
        <w:rPr>
          <w:rFonts w:ascii="Arial" w:eastAsia="Arial" w:hAnsi="Arial" w:cs="Arial"/>
          <w:color w:val="000000"/>
        </w:rPr>
        <w:t> WEST GROUP</w:t>
      </w:r>
    </w:p>
    <w:p w:rsidR="007A6EB4" w:rsidRDefault="006F3363">
      <w:pPr>
        <w:spacing w:before="240" w:line="260" w:lineRule="atLeast"/>
      </w:pPr>
      <w:r>
        <w:rPr>
          <w:rFonts w:ascii="Arial" w:eastAsia="Arial" w:hAnsi="Arial" w:cs="Arial"/>
          <w:color w:val="000000"/>
          <w:sz w:val="20"/>
        </w:rPr>
        <w:t>Florida Jurisprudence 2D Copyright © 2018 West Group</w:t>
      </w:r>
    </w:p>
    <w:p w:rsidR="007A6EB4" w:rsidRDefault="007A6EB4"/>
    <w:p w:rsidR="007A6EB4" w:rsidRDefault="006F3363">
      <w:pPr>
        <w:ind w:left="200"/>
      </w:pPr>
      <w:r>
        <w:br/>
      </w:r>
      <w:r>
        <w:pict>
          <v:line id="_x0000_s1276" style="position:absolute;left:0;text-align:left;z-index:251841536;mso-position-horizontal-relative:text;mso-position-vertical-relative:text" from="0,10pt" to="512pt,10pt" strokeweight="1pt"/>
        </w:pict>
      </w:r>
      <w:r>
        <w:rPr>
          <w:b/>
          <w:color w:val="767676"/>
          <w:sz w:val="16"/>
        </w:rPr>
        <w:t>End of Document</w:t>
      </w:r>
    </w:p>
    <w:sectPr w:rsidR="007A6EB4">
      <w:type w:val="continuous"/>
      <w:pgSz w:w="12240" w:h="15840"/>
      <w:pgMar w:top="840" w:right="1000" w:bottom="840" w:left="1000" w:header="400" w:footer="4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3363" w:rsidRDefault="006F3363">
      <w:r>
        <w:separator/>
      </w:r>
    </w:p>
  </w:endnote>
  <w:endnote w:type="continuationSeparator" w:id="0">
    <w:p w:rsidR="006F3363" w:rsidRDefault="006F3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7</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7</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17</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17</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20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20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25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25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30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30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33</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33</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35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35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37</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37</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40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40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42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42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46</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46</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50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50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55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55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59</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59</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62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62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65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65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68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68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71</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71</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78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78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85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85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88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88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92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92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95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95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98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98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105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105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111</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111</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114</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114</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118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118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121</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121</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125</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125</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129</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129</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134</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134</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137</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137</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140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140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144</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144</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147</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147</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150</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150</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152</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152</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154</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154</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156</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156</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2600"/>
      <w:gridCol w:w="4880"/>
      <w:gridCol w:w="2600"/>
    </w:tblGrid>
    <w:tr w:rsidR="007A6EB4">
      <w:trPr>
        <w:jc w:val="center"/>
      </w:trPr>
      <w:tc>
        <w:tcPr>
          <w:tcW w:w="2600" w:type="dxa"/>
          <w:tcMar>
            <w:top w:w="200" w:type="dxa"/>
          </w:tcMar>
          <w:vAlign w:val="center"/>
        </w:tcPr>
        <w:p w:rsidR="007A6EB4" w:rsidRDefault="007A6EB4"/>
      </w:tc>
      <w:tc>
        <w:tcPr>
          <w:tcW w:w="4880" w:type="dxa"/>
          <w:tcMar>
            <w:top w:w="200" w:type="dxa"/>
          </w:tcMar>
          <w:vAlign w:val="center"/>
        </w:tcPr>
        <w:p w:rsidR="007A6EB4" w:rsidRDefault="006F3363">
          <w:pPr>
            <w:jc w:val="center"/>
          </w:pPr>
          <w:r>
            <w:rPr>
              <w:rFonts w:ascii="Arial" w:eastAsia="Arial" w:hAnsi="Arial" w:cs="Arial"/>
              <w:sz w:val="20"/>
            </w:rPr>
            <w:t xml:space="preserve"> Page </w:t>
          </w:r>
          <w:r>
            <w:rPr>
              <w:rFonts w:ascii="Arial" w:eastAsia="Arial" w:hAnsi="Arial" w:cs="Arial"/>
              <w:sz w:val="20"/>
            </w:rPr>
            <w:fldChar w:fldCharType="begin"/>
          </w:r>
          <w:r>
            <w:rPr>
              <w:rFonts w:ascii="Arial" w:eastAsia="Arial" w:hAnsi="Arial" w:cs="Arial"/>
              <w:sz w:val="20"/>
            </w:rPr>
            <w:instrText xml:space="preserve"> PAGE </w:instrText>
          </w:r>
          <w:r w:rsidR="00D33A59">
            <w:rPr>
              <w:rFonts w:ascii="Arial" w:eastAsia="Arial" w:hAnsi="Arial" w:cs="Arial"/>
              <w:sz w:val="20"/>
            </w:rPr>
            <w:fldChar w:fldCharType="separate"/>
          </w:r>
          <w:r w:rsidR="00D33A59">
            <w:rPr>
              <w:rFonts w:ascii="Arial" w:eastAsia="Arial" w:hAnsi="Arial" w:cs="Arial"/>
              <w:noProof/>
              <w:sz w:val="20"/>
            </w:rPr>
            <w:t>158</w:t>
          </w:r>
          <w:r>
            <w:rPr>
              <w:rFonts w:ascii="Arial" w:eastAsia="Arial" w:hAnsi="Arial" w:cs="Arial"/>
              <w:sz w:val="20"/>
            </w:rPr>
            <w:fldChar w:fldCharType="end"/>
          </w:r>
          <w:r>
            <w:rPr>
              <w:rFonts w:ascii="Arial" w:eastAsia="Arial" w:hAnsi="Arial" w:cs="Arial"/>
              <w:sz w:val="20"/>
            </w:rPr>
            <w:t xml:space="preserve"> of </w:t>
          </w:r>
          <w:r>
            <w:rPr>
              <w:rFonts w:ascii="Arial" w:eastAsia="Arial" w:hAnsi="Arial" w:cs="Arial"/>
              <w:sz w:val="20"/>
            </w:rPr>
            <w:fldChar w:fldCharType="begin"/>
          </w:r>
          <w:r>
            <w:rPr>
              <w:rFonts w:ascii="Arial" w:eastAsia="Arial" w:hAnsi="Arial" w:cs="Arial"/>
              <w:sz w:val="20"/>
            </w:rPr>
            <w:instrText xml:space="preserve"> NUMPAGES </w:instrText>
          </w:r>
          <w:r w:rsidR="00D33A59">
            <w:rPr>
              <w:rFonts w:ascii="Arial" w:eastAsia="Arial" w:hAnsi="Arial" w:cs="Arial"/>
              <w:sz w:val="20"/>
            </w:rPr>
            <w:fldChar w:fldCharType="separate"/>
          </w:r>
          <w:r w:rsidR="00D33A59">
            <w:rPr>
              <w:rFonts w:ascii="Arial" w:eastAsia="Arial" w:hAnsi="Arial" w:cs="Arial"/>
              <w:noProof/>
              <w:sz w:val="20"/>
            </w:rPr>
            <w:t>158</w:t>
          </w:r>
          <w:r>
            <w:rPr>
              <w:rFonts w:ascii="Arial" w:eastAsia="Arial" w:hAnsi="Arial" w:cs="Arial"/>
              <w:sz w:val="20"/>
            </w:rPr>
            <w:fldChar w:fldCharType="end"/>
          </w:r>
        </w:p>
      </w:tc>
      <w:tc>
        <w:tcPr>
          <w:tcW w:w="2600" w:type="dxa"/>
          <w:tcMar>
            <w:top w:w="200" w:type="dxa"/>
          </w:tcMar>
          <w:vAlign w:val="center"/>
        </w:tcPr>
        <w:p w:rsidR="007A6EB4" w:rsidRDefault="007A6EB4"/>
      </w:tc>
    </w:tr>
  </w:tbl>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pPr>
      <w:spacing w:before="20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3363" w:rsidRDefault="006F3363">
      <w:r>
        <w:separator/>
      </w:r>
    </w:p>
  </w:footnote>
  <w:footnote w:type="continuationSeparator" w:id="0">
    <w:p w:rsidR="006F3363" w:rsidRDefault="006F3363">
      <w:r>
        <w:continuationSeparator/>
      </w:r>
    </w:p>
  </w:footnote>
  <w:footnote w:id="1">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Am. Jur. 2d, Civil Rights § 1.</w:t>
      </w:r>
    </w:p>
  </w:footnote>
  <w:footnote w:id="2">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Maxwell v. Good Samaritan Hospital Ass'n, Inc., 195 So. 2d 255 (Fla. Dist. Ct. App. 4th Dist. 1967).</w:t>
      </w:r>
    </w:p>
  </w:footnote>
  <w:footnote w:id="3">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Art. I, § 2, Fla. Const.</w:t>
      </w:r>
    </w:p>
  </w:footnote>
  <w:footnote w:id="4">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Art. I, § 2, Fla. Const.</w:t>
      </w:r>
    </w:p>
  </w:footnote>
  <w:footnote w:id="5">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Art. I, §§ 3 to 28, Fla. Const.</w:t>
      </w:r>
    </w:p>
    <w:p w:rsidR="007A6EB4" w:rsidRDefault="006F3363">
      <w:pPr>
        <w:spacing w:before="120" w:line="240" w:lineRule="atLeast"/>
        <w:jc w:val="both"/>
      </w:pPr>
      <w:r>
        <w:rPr>
          <w:rFonts w:ascii="Arial" w:eastAsia="Arial" w:hAnsi="Arial" w:cs="Arial"/>
          <w:color w:val="000000"/>
          <w:sz w:val="18"/>
        </w:rPr>
        <w:t>As to these fundamental rights and privileges, see Fla. Jur.</w:t>
      </w:r>
      <w:r>
        <w:rPr>
          <w:rFonts w:ascii="Arial" w:eastAsia="Arial" w:hAnsi="Arial" w:cs="Arial"/>
          <w:color w:val="000000"/>
          <w:sz w:val="18"/>
        </w:rPr>
        <w:t xml:space="preserve"> 2d, Constitutional Law §§ 1 et seq.</w:t>
      </w:r>
    </w:p>
  </w:footnote>
  <w:footnote w:id="6">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Art. I, § 1, Fla. Const.</w:t>
      </w:r>
    </w:p>
  </w:footnote>
  <w:footnote w:id="7">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Schreiner v. McKenzie Tank Lines &amp; Risk Management Services, Inc., 408 So. 2d 711 (Fla. Dist. Ct. App. 1st Dist. 1982), decision approved, 432 So. 2d 567 (Fla. 1983).</w:t>
      </w:r>
    </w:p>
  </w:footnote>
  <w:footnote w:id="8">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Schreiner v. Mc</w:t>
      </w:r>
      <w:r>
        <w:rPr>
          <w:rFonts w:ascii="Arial" w:eastAsia="Arial" w:hAnsi="Arial" w:cs="Arial"/>
          <w:color w:val="000000"/>
          <w:sz w:val="18"/>
        </w:rPr>
        <w:t>Kenzie Tank Lines, Inc., 432 So. 2d 567 (Fla. 1983).</w:t>
      </w:r>
    </w:p>
  </w:footnote>
  <w:footnote w:id="9">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Shuttleworth v. Broward County, 639 F. Supp. 654 (S.D. Fla. 1986).</w:t>
      </w:r>
    </w:p>
  </w:footnote>
  <w:footnote w:id="10">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744.3215(1)(j), Fla. Stat.</w:t>
      </w:r>
    </w:p>
  </w:footnote>
  <w:footnote w:id="11">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509.092, 760.01 to 760.11, Fla. Stat.</w:t>
      </w:r>
    </w:p>
  </w:footnote>
  <w:footnote w:id="12">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760.01(1), Fla. Stat.</w:t>
      </w:r>
    </w:p>
  </w:footnote>
  <w:footnote w:id="13">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 760.20 to 760.37,</w:t>
      </w:r>
      <w:r>
        <w:rPr>
          <w:rFonts w:ascii="Arial" w:eastAsia="Arial" w:hAnsi="Arial" w:cs="Arial"/>
          <w:color w:val="000000"/>
          <w:sz w:val="18"/>
        </w:rPr>
        <w:t xml:space="preserve"> Fla. Stat.</w:t>
      </w:r>
    </w:p>
  </w:footnote>
  <w:footnote w:id="14">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 760.20, Fla. Stat.</w:t>
      </w:r>
    </w:p>
  </w:footnote>
  <w:footnote w:id="15">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448.07, Fla. Stat.</w:t>
      </w:r>
    </w:p>
  </w:footnote>
  <w:footnote w:id="16">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See, for example, § 13, discussing accommodation rights in public places for physically disabled persons.</w:t>
      </w:r>
    </w:p>
  </w:footnote>
  <w:footnote w:id="17">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Kelly v. K.D. Const. of Florida, Inc., 866 F. Supp. 1406 (S.D. Fla. 1994); Brand v. Florida Power Corp., 633 So. 2d 504 (Fla. Dist. Ct. App. 1st Dist. 1994); O'Loughlin v. Pinchback, 579 So. 2d 788 (Fla. Dist. Ct. App. 1st Dist. 1991).</w:t>
      </w:r>
    </w:p>
  </w:footnote>
  <w:footnote w:id="18">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 509.092, 76</w:t>
      </w:r>
      <w:r>
        <w:rPr>
          <w:rFonts w:ascii="Arial" w:eastAsia="Arial" w:hAnsi="Arial" w:cs="Arial"/>
          <w:color w:val="000000"/>
          <w:sz w:val="18"/>
        </w:rPr>
        <w:t>0.01 to 760.11, Fla. Stat.</w:t>
      </w:r>
    </w:p>
  </w:footnote>
  <w:footnote w:id="19">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29 U.S.C.A. §§ 701 to 796l.</w:t>
      </w:r>
    </w:p>
  </w:footnote>
  <w:footnote w:id="20">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Albra v. Advan, Inc., 490 F.3d 826, 68 Fed. R. Serv. 3d 241 (11th Cir. 2007), referring to 42 U.S.C.A. §§ 12101 to 12300 (applying Florida law); Holly v. Clairson Industries, L.L.C., 492 F.3d</w:t>
      </w:r>
      <w:r>
        <w:rPr>
          <w:rFonts w:ascii="Arial" w:eastAsia="Arial" w:hAnsi="Arial" w:cs="Arial"/>
          <w:color w:val="000000"/>
          <w:sz w:val="18"/>
        </w:rPr>
        <w:t xml:space="preserve"> 1247 (11th Cir. 2007) (applying Florida law); Moore v. Hillsborough County Bd. of County Com'rs, 544 F. Supp. 2d 1291 (M.D. Fla. 2008) (applying Florida law); Ross v. Jim Adams Ford, Inc., 871 So. 2d 312 (Fla. Dist. Ct. App. 2d Dist. 2004) (handicap discr</w:t>
      </w:r>
      <w:r>
        <w:rPr>
          <w:rFonts w:ascii="Arial" w:eastAsia="Arial" w:hAnsi="Arial" w:cs="Arial"/>
          <w:color w:val="000000"/>
          <w:sz w:val="18"/>
        </w:rPr>
        <w:t>imination claims); Wimberly v. Securities Technology Group, Inc., 866 So. 2d 146 (Fla. Dist. Ct. App. 4th Dist. 2004) (disability discrimination claim).</w:t>
      </w:r>
    </w:p>
  </w:footnote>
  <w:footnote w:id="21">
    <w:p w:rsidR="007A6EB4" w:rsidRDefault="006F3363">
      <w:pPr>
        <w:spacing w:before="120" w:line="240" w:lineRule="atLeast"/>
        <w:jc w:val="both"/>
      </w:pPr>
      <w:r>
        <w:rPr>
          <w:rFonts w:ascii="Arial" w:eastAsia="Arial" w:hAnsi="Arial" w:cs="Arial"/>
          <w:color w:val="000000"/>
          <w:sz w:val="18"/>
          <w:vertAlign w:val="superscript"/>
        </w:rPr>
        <w:t>n19 </w:t>
      </w:r>
      <w:r>
        <w:rPr>
          <w:rFonts w:ascii="Arial" w:eastAsia="Arial" w:hAnsi="Arial" w:cs="Arial"/>
          <w:color w:val="000000"/>
          <w:sz w:val="18"/>
        </w:rPr>
        <w:t xml:space="preserve"> Tourville v. Securex, Inc., 769 So. 2d 491 (Fla. Dist. Ct. App. 4th Dist. 2000).</w:t>
      </w:r>
    </w:p>
  </w:footnote>
  <w:footnote w:id="22">
    <w:p w:rsidR="007A6EB4" w:rsidRDefault="006F3363">
      <w:pPr>
        <w:spacing w:before="120" w:line="240" w:lineRule="atLeast"/>
        <w:jc w:val="both"/>
      </w:pPr>
      <w:r>
        <w:rPr>
          <w:rFonts w:ascii="Arial" w:eastAsia="Arial" w:hAnsi="Arial" w:cs="Arial"/>
          <w:color w:val="000000"/>
          <w:sz w:val="18"/>
          <w:vertAlign w:val="superscript"/>
        </w:rPr>
        <w:t>n20 </w:t>
      </w:r>
      <w:r>
        <w:rPr>
          <w:rFonts w:ascii="Arial" w:eastAsia="Arial" w:hAnsi="Arial" w:cs="Arial"/>
          <w:color w:val="000000"/>
          <w:sz w:val="18"/>
        </w:rPr>
        <w:t xml:space="preserve"> Byrd v. BT F</w:t>
      </w:r>
      <w:r>
        <w:rPr>
          <w:rFonts w:ascii="Arial" w:eastAsia="Arial" w:hAnsi="Arial" w:cs="Arial"/>
          <w:color w:val="000000"/>
          <w:sz w:val="18"/>
        </w:rPr>
        <w:t>oods, Inc., 948 So. 2d 921 (Fla. Dist. Ct. App. 4th Dist. 2007), referring to 42 U.S.C.A. §§ 2000a to 2000a-6.</w:t>
      </w:r>
    </w:p>
  </w:footnote>
  <w:footnote w:id="23">
    <w:p w:rsidR="007A6EB4" w:rsidRDefault="006F3363">
      <w:pPr>
        <w:spacing w:before="120" w:line="240" w:lineRule="atLeast"/>
        <w:jc w:val="both"/>
      </w:pPr>
      <w:r>
        <w:rPr>
          <w:rFonts w:ascii="Arial" w:eastAsia="Arial" w:hAnsi="Arial" w:cs="Arial"/>
          <w:color w:val="000000"/>
          <w:sz w:val="18"/>
          <w:vertAlign w:val="superscript"/>
        </w:rPr>
        <w:t>n21 </w:t>
      </w:r>
      <w:r>
        <w:rPr>
          <w:rFonts w:ascii="Arial" w:eastAsia="Arial" w:hAnsi="Arial" w:cs="Arial"/>
          <w:color w:val="000000"/>
          <w:sz w:val="18"/>
        </w:rPr>
        <w:t xml:space="preserve"> Reynolds v. International Business Machines Corp., 320 F. Supp. 2d 1290 (M.D. Fla. 2004), aff'd, 125 Fed. Appx. 982 (11th Cir. 2004) (applyi</w:t>
      </w:r>
      <w:r>
        <w:rPr>
          <w:rFonts w:ascii="Arial" w:eastAsia="Arial" w:hAnsi="Arial" w:cs="Arial"/>
          <w:color w:val="000000"/>
          <w:sz w:val="18"/>
        </w:rPr>
        <w:t>ng Florida law); City of Hollywood v. Hogan, 986 So. 2d 634 (Fla. Dist. Ct. App. 4th Dist. 2008), referring to 29 U.S.C.A. § 623 and 42 U.S.C.A. §§ 2000a to 2000a-6.</w:t>
      </w:r>
    </w:p>
  </w:footnote>
  <w:footnote w:id="24">
    <w:p w:rsidR="007A6EB4" w:rsidRDefault="006F3363">
      <w:pPr>
        <w:spacing w:before="120" w:line="240" w:lineRule="atLeast"/>
        <w:jc w:val="both"/>
      </w:pPr>
      <w:r>
        <w:rPr>
          <w:rFonts w:ascii="Arial" w:eastAsia="Arial" w:hAnsi="Arial" w:cs="Arial"/>
          <w:color w:val="000000"/>
          <w:sz w:val="18"/>
          <w:vertAlign w:val="superscript"/>
        </w:rPr>
        <w:t>n22 </w:t>
      </w:r>
      <w:r>
        <w:rPr>
          <w:rFonts w:ascii="Arial" w:eastAsia="Arial" w:hAnsi="Arial" w:cs="Arial"/>
          <w:color w:val="000000"/>
          <w:sz w:val="18"/>
        </w:rPr>
        <w:t xml:space="preserve"> Greenberg v. BellSouth Telecommunications, Inc., 498 F.3d 1258 (11th Cir. 2007) (appl</w:t>
      </w:r>
      <w:r>
        <w:rPr>
          <w:rFonts w:ascii="Arial" w:eastAsia="Arial" w:hAnsi="Arial" w:cs="Arial"/>
          <w:color w:val="000000"/>
          <w:sz w:val="18"/>
        </w:rPr>
        <w:t>ying Florida law); Florida State University v. Sondel, 685 So. 2d 923, 115 Ed. Law Rep. 575 (Fla. Dist. Ct. App. 1st Dist. 1996).</w:t>
      </w:r>
    </w:p>
  </w:footnote>
  <w:footnote w:id="25">
    <w:p w:rsidR="007A6EB4" w:rsidRDefault="006F3363">
      <w:pPr>
        <w:spacing w:before="120" w:line="240" w:lineRule="atLeast"/>
        <w:jc w:val="both"/>
      </w:pPr>
      <w:r>
        <w:rPr>
          <w:rFonts w:ascii="Arial" w:eastAsia="Arial" w:hAnsi="Arial" w:cs="Arial"/>
          <w:color w:val="000000"/>
          <w:sz w:val="18"/>
          <w:vertAlign w:val="superscript"/>
        </w:rPr>
        <w:t>n23 </w:t>
      </w:r>
      <w:r>
        <w:rPr>
          <w:rFonts w:ascii="Arial" w:eastAsia="Arial" w:hAnsi="Arial" w:cs="Arial"/>
          <w:color w:val="000000"/>
          <w:sz w:val="18"/>
        </w:rPr>
        <w:t xml:space="preserve"> Alvarez v. Royal Atlantic Developers, Inc., 610 F.3d 1253 (11th Cir. 2010) (applying Florida law); Washington v. School B</w:t>
      </w:r>
      <w:r>
        <w:rPr>
          <w:rFonts w:ascii="Arial" w:eastAsia="Arial" w:hAnsi="Arial" w:cs="Arial"/>
          <w:color w:val="000000"/>
          <w:sz w:val="18"/>
        </w:rPr>
        <w:t>d. of Hillsborough County, 731 F. Supp. 2d 1309, 263 Ed. Law Rep. 106 (M.D. Fla. 2010) (applying Florida law).</w:t>
      </w:r>
    </w:p>
  </w:footnote>
  <w:footnote w:id="26">
    <w:p w:rsidR="007A6EB4" w:rsidRDefault="006F3363">
      <w:pPr>
        <w:spacing w:before="120" w:line="240" w:lineRule="atLeast"/>
        <w:jc w:val="both"/>
      </w:pPr>
      <w:r>
        <w:rPr>
          <w:rFonts w:ascii="Arial" w:eastAsia="Arial" w:hAnsi="Arial" w:cs="Arial"/>
          <w:color w:val="000000"/>
          <w:sz w:val="18"/>
          <w:vertAlign w:val="superscript"/>
        </w:rPr>
        <w:t>n24 </w:t>
      </w:r>
      <w:r>
        <w:rPr>
          <w:rFonts w:ascii="Arial" w:eastAsia="Arial" w:hAnsi="Arial" w:cs="Arial"/>
          <w:color w:val="000000"/>
          <w:sz w:val="18"/>
        </w:rPr>
        <w:t xml:space="preserve"> Natson v. Eckerd Corp., Inc., 885 So. 2d 945 (Fla. Dist. Ct. App. 4th Dist. 2004).</w:t>
      </w:r>
    </w:p>
  </w:footnote>
  <w:footnote w:id="27">
    <w:p w:rsidR="007A6EB4" w:rsidRDefault="006F3363">
      <w:pPr>
        <w:spacing w:before="120" w:line="240" w:lineRule="atLeast"/>
        <w:jc w:val="both"/>
      </w:pPr>
      <w:r>
        <w:rPr>
          <w:rFonts w:ascii="Arial" w:eastAsia="Arial" w:hAnsi="Arial" w:cs="Arial"/>
          <w:color w:val="000000"/>
          <w:sz w:val="18"/>
          <w:vertAlign w:val="superscript"/>
        </w:rPr>
        <w:t>n25 </w:t>
      </w:r>
      <w:r>
        <w:rPr>
          <w:rFonts w:ascii="Arial" w:eastAsia="Arial" w:hAnsi="Arial" w:cs="Arial"/>
          <w:color w:val="000000"/>
          <w:sz w:val="18"/>
        </w:rPr>
        <w:t xml:space="preserve"> Lapar v. Potter, 395 F. Supp. 2d 1152 (M.D. Fla. 2005) (applying Florida law).</w:t>
      </w:r>
    </w:p>
  </w:footnote>
  <w:footnote w:id="28">
    <w:p w:rsidR="007A6EB4" w:rsidRDefault="006F3363">
      <w:pPr>
        <w:spacing w:before="120" w:line="240" w:lineRule="atLeast"/>
        <w:jc w:val="both"/>
      </w:pPr>
      <w:r>
        <w:rPr>
          <w:rFonts w:ascii="Arial" w:eastAsia="Arial" w:hAnsi="Arial" w:cs="Arial"/>
          <w:color w:val="000000"/>
          <w:sz w:val="18"/>
          <w:vertAlign w:val="superscript"/>
        </w:rPr>
        <w:t>n26 </w:t>
      </w:r>
      <w:r>
        <w:rPr>
          <w:rFonts w:ascii="Arial" w:eastAsia="Arial" w:hAnsi="Arial" w:cs="Arial"/>
          <w:color w:val="000000"/>
          <w:sz w:val="18"/>
        </w:rPr>
        <w:t xml:space="preserve"> Winn-Dixie Stores, Inc. v. Reddick, 954 So. 2d 723 (Fla. Dist. Ct. App. 1st Dist. 2007).</w:t>
      </w:r>
    </w:p>
  </w:footnote>
  <w:footnote w:id="29">
    <w:p w:rsidR="007A6EB4" w:rsidRDefault="006F3363">
      <w:pPr>
        <w:spacing w:before="120" w:line="240" w:lineRule="atLeast"/>
        <w:jc w:val="both"/>
      </w:pPr>
      <w:r>
        <w:rPr>
          <w:rFonts w:ascii="Arial" w:eastAsia="Arial" w:hAnsi="Arial" w:cs="Arial"/>
          <w:color w:val="000000"/>
          <w:sz w:val="18"/>
          <w:vertAlign w:val="superscript"/>
        </w:rPr>
        <w:t>n27 </w:t>
      </w:r>
      <w:r>
        <w:rPr>
          <w:rFonts w:ascii="Arial" w:eastAsia="Arial" w:hAnsi="Arial" w:cs="Arial"/>
          <w:color w:val="000000"/>
          <w:sz w:val="18"/>
        </w:rPr>
        <w:t xml:space="preserve"> Winn-Dixie Stores, Inc. v. Reddick, 954 So. 2d 723 (Fla. Dist. Ct. App. 1st D</w:t>
      </w:r>
      <w:r>
        <w:rPr>
          <w:rFonts w:ascii="Arial" w:eastAsia="Arial" w:hAnsi="Arial" w:cs="Arial"/>
          <w:color w:val="000000"/>
          <w:sz w:val="18"/>
        </w:rPr>
        <w:t>ist. 2007).</w:t>
      </w:r>
    </w:p>
  </w:footnote>
  <w:footnote w:id="30">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760.07, Fla. Stat., referring as to damages, to § 760.11(5), Fla. Stat.</w:t>
      </w:r>
    </w:p>
    <w:p w:rsidR="007A6EB4" w:rsidRDefault="006F3363">
      <w:pPr>
        <w:spacing w:before="120" w:line="240" w:lineRule="atLeast"/>
        <w:jc w:val="both"/>
      </w:pPr>
      <w:r>
        <w:rPr>
          <w:rFonts w:ascii="Arial" w:eastAsia="Arial" w:hAnsi="Arial" w:cs="Arial"/>
          <w:color w:val="000000"/>
          <w:sz w:val="18"/>
        </w:rPr>
        <w:t>As to actions based on employment discrimination, see §§ 6 to 10.</w:t>
      </w:r>
    </w:p>
    <w:p w:rsidR="007A6EB4" w:rsidRDefault="006F3363">
      <w:pPr>
        <w:spacing w:before="120" w:line="240" w:lineRule="atLeast"/>
        <w:jc w:val="both"/>
      </w:pPr>
      <w:r>
        <w:rPr>
          <w:rFonts w:ascii="Arial" w:eastAsia="Arial" w:hAnsi="Arial" w:cs="Arial"/>
          <w:color w:val="000000"/>
          <w:sz w:val="18"/>
        </w:rPr>
        <w:t>As to actions based on the Fair Housing Act, see § 38.</w:t>
      </w:r>
    </w:p>
  </w:footnote>
  <w:footnote w:id="31">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760.07, Fla. Stat.</w:t>
      </w:r>
    </w:p>
  </w:footnote>
  <w:footnote w:id="32">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760.07, Fla. S</w:t>
      </w:r>
      <w:r>
        <w:rPr>
          <w:rFonts w:ascii="Arial" w:eastAsia="Arial" w:hAnsi="Arial" w:cs="Arial"/>
          <w:color w:val="000000"/>
          <w:sz w:val="18"/>
        </w:rPr>
        <w:t>tat.</w:t>
      </w:r>
    </w:p>
  </w:footnote>
  <w:footnote w:id="33">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760.021(1), Fla. Stat.</w:t>
      </w:r>
    </w:p>
  </w:footnote>
  <w:footnote w:id="34">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760.021(2), Fla. Stat.</w:t>
      </w:r>
    </w:p>
  </w:footnote>
  <w:footnote w:id="35">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760.021(3), Fla. Stat.</w:t>
      </w:r>
    </w:p>
  </w:footnote>
  <w:footnote w:id="36">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760.021(4), Fla. Stat.</w:t>
      </w:r>
    </w:p>
  </w:footnote>
  <w:footnote w:id="37">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760.021(5), Fla. Stat.</w:t>
      </w:r>
    </w:p>
  </w:footnote>
  <w:footnote w:id="38">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760.51, Fla. Stat.</w:t>
      </w:r>
    </w:p>
  </w:footnote>
  <w:footnote w:id="39">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Maggio v. Florida Dept. of Labor and Employment Security, 899 So. 2d 1074 (F</w:t>
      </w:r>
      <w:r>
        <w:rPr>
          <w:rFonts w:ascii="Arial" w:eastAsia="Arial" w:hAnsi="Arial" w:cs="Arial"/>
          <w:color w:val="000000"/>
          <w:sz w:val="18"/>
        </w:rPr>
        <w:t>la. 2005).</w:t>
      </w:r>
    </w:p>
  </w:footnote>
  <w:footnote w:id="40">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Klonis v. State, Dept. of Revenue, 766 So. 2d 1186 (Fla. Dist. Ct. App. 1st Dist. 2000); Jones v. Brummer, 766 So. 2d 1107 (Fla. Dist. Ct. App. 3d Dist. 2000).</w:t>
      </w:r>
    </w:p>
    <w:p w:rsidR="007A6EB4" w:rsidRDefault="006F3363">
      <w:pPr>
        <w:spacing w:before="120" w:line="240" w:lineRule="atLeast"/>
        <w:jc w:val="both"/>
      </w:pPr>
      <w:r>
        <w:rPr>
          <w:rFonts w:ascii="Arial" w:eastAsia="Arial" w:hAnsi="Arial" w:cs="Arial"/>
          <w:color w:val="000000"/>
          <w:sz w:val="18"/>
        </w:rPr>
        <w:t>As to the definition of "persons" who may be an "employer" as including the State</w:t>
      </w:r>
      <w:r>
        <w:rPr>
          <w:rFonts w:ascii="Arial" w:eastAsia="Arial" w:hAnsi="Arial" w:cs="Arial"/>
          <w:color w:val="000000"/>
          <w:sz w:val="18"/>
        </w:rPr>
        <w:t>, see § 15.</w:t>
      </w:r>
    </w:p>
  </w:footnote>
  <w:footnote w:id="41">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Board of Regents of State v. Snyder, 826 So. 2d 382, 170 Ed. Law Rep. 407 (Fla. Dist. Ct. App. 2d Dist. 2002), referring to actions brought pursuant to 42 U.S.C.A. § 1983.</w:t>
      </w:r>
    </w:p>
  </w:footnote>
  <w:footnote w:id="42">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Board of Regents of State v. Snyder, 826 So. 2d 382, 170 Ed. Law Rep. 407 (Fla. Dist. Ct. App. 2d Dist. 2002), referring to actions brought pursuant to 42 U.S.C.A. § 1983.</w:t>
      </w:r>
    </w:p>
  </w:footnote>
  <w:footnote w:id="43">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Fleetwood Homes of Florida, Inc. v. Reeves, 833 So. 2d 857 (Fla. Dist. Ct. App.</w:t>
      </w:r>
      <w:r>
        <w:rPr>
          <w:rFonts w:ascii="Arial" w:eastAsia="Arial" w:hAnsi="Arial" w:cs="Arial"/>
          <w:color w:val="000000"/>
          <w:sz w:val="18"/>
        </w:rPr>
        <w:t xml:space="preserve"> 2d Dist. 2002), decision quashed on other grounds, 889 So. 2d 812 (Fla. 2004).</w:t>
      </w:r>
    </w:p>
  </w:footnote>
  <w:footnote w:id="4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Florida Com'n on Human Relations v. Parrish Management, Inc., 682 So. 2d 159 (Fla. Dist. Ct. App. 1st Dist. 1996).</w:t>
      </w:r>
    </w:p>
  </w:footnote>
  <w:footnote w:id="45">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760.03(1), Fla. Stat.</w:t>
      </w:r>
    </w:p>
  </w:footnote>
  <w:footnote w:id="46">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760.03(2), Fla. Stat.</w:t>
      </w:r>
    </w:p>
  </w:footnote>
  <w:footnote w:id="47">
    <w:p w:rsidR="007A6EB4" w:rsidRDefault="006F3363">
      <w:pPr>
        <w:spacing w:before="120" w:line="240" w:lineRule="atLeast"/>
        <w:jc w:val="both"/>
      </w:pPr>
      <w:r>
        <w:rPr>
          <w:rFonts w:ascii="Arial" w:eastAsia="Arial" w:hAnsi="Arial" w:cs="Arial"/>
          <w:color w:val="000000"/>
          <w:sz w:val="18"/>
          <w:vertAlign w:val="superscript"/>
        </w:rPr>
        <w:t>n</w:t>
      </w:r>
      <w:r>
        <w:rPr>
          <w:rFonts w:ascii="Arial" w:eastAsia="Arial" w:hAnsi="Arial" w:cs="Arial"/>
          <w:color w:val="000000"/>
          <w:sz w:val="18"/>
          <w:vertAlign w:val="superscript"/>
        </w:rPr>
        <w:t>4 </w:t>
      </w:r>
      <w:r>
        <w:rPr>
          <w:rFonts w:ascii="Arial" w:eastAsia="Arial" w:hAnsi="Arial" w:cs="Arial"/>
          <w:color w:val="000000"/>
          <w:sz w:val="18"/>
        </w:rPr>
        <w:t xml:space="preserve"> § 760.05, Fla. Stat.</w:t>
      </w:r>
    </w:p>
    <w:p w:rsidR="007A6EB4" w:rsidRDefault="006F3363">
      <w:pPr>
        <w:spacing w:before="120" w:line="240" w:lineRule="atLeast"/>
        <w:jc w:val="both"/>
      </w:pPr>
      <w:r>
        <w:rPr>
          <w:rFonts w:ascii="Arial" w:eastAsia="Arial" w:hAnsi="Arial" w:cs="Arial"/>
          <w:color w:val="000000"/>
          <w:sz w:val="18"/>
        </w:rPr>
        <w:t>As to the Commission's duties with regard to nomination and selection of persons for the Florida Civil Rights Hall of Fame, see § 760.065, Fla. Stat.</w:t>
      </w:r>
    </w:p>
  </w:footnote>
  <w:footnote w:id="48">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760.06(5), Fla. Stat.</w:t>
      </w:r>
    </w:p>
  </w:footnote>
  <w:footnote w:id="49">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760.06(7), Fla. Stat.</w:t>
      </w:r>
    </w:p>
  </w:footnote>
  <w:footnote w:id="50">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760.06(13), Fla. Stat., referring to §§ 112.3187 to 112.31895, Fla. Stat.</w:t>
      </w:r>
    </w:p>
  </w:footnote>
  <w:footnote w:id="51">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760.06(12), Fla. Stat., referring to §§ 120.50 et seq., Fla. Stat.</w:t>
      </w:r>
    </w:p>
    <w:p w:rsidR="007A6EB4" w:rsidRDefault="006F3363">
      <w:pPr>
        <w:spacing w:before="120" w:line="240" w:lineRule="atLeast"/>
        <w:jc w:val="both"/>
      </w:pPr>
      <w:r>
        <w:rPr>
          <w:rFonts w:ascii="Arial" w:eastAsia="Arial" w:hAnsi="Arial" w:cs="Arial"/>
          <w:color w:val="000000"/>
          <w:sz w:val="18"/>
        </w:rPr>
        <w:t>As to the statutory chapters and rules chapters affecting and governing the operations of the Commission p</w:t>
      </w:r>
      <w:r>
        <w:rPr>
          <w:rFonts w:ascii="Arial" w:eastAsia="Arial" w:hAnsi="Arial" w:cs="Arial"/>
          <w:color w:val="000000"/>
          <w:sz w:val="18"/>
        </w:rPr>
        <w:t>ursuant to the Florida Administrative Code, see Fla. Admin. Code R. 60Y-2.006.</w:t>
      </w:r>
    </w:p>
  </w:footnote>
  <w:footnote w:id="52">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760.06(6), Fla. Stat.</w:t>
      </w:r>
    </w:p>
  </w:footnote>
  <w:footnote w:id="53">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760.06(6), Fla. Stat.</w:t>
      </w:r>
    </w:p>
  </w:footnote>
  <w:footnote w:id="5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Sheely v. MRI Radiology Network, P.A., 505 F.3d 1173 (11th Cir. 2007) (applying Florida law); Maggio v. Florida Dept</w:t>
      </w:r>
      <w:r>
        <w:rPr>
          <w:rFonts w:ascii="Arial" w:eastAsia="Arial" w:hAnsi="Arial" w:cs="Arial"/>
          <w:color w:val="000000"/>
          <w:sz w:val="18"/>
        </w:rPr>
        <w:t>. of Labor and Employment Security, 899 So. 2d 1074 (Fla. 2005).</w:t>
      </w:r>
    </w:p>
  </w:footnote>
  <w:footnote w:id="55">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Maggio v. Florida Dept. of Labor and Employment Security, 899 So. 2d 1074 (Fla. 2005).</w:t>
      </w:r>
    </w:p>
  </w:footnote>
  <w:footnote w:id="56">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760.11(1), Fla. Stat., referring to §§ 760.01 to 760.10, Fla. Stat. and § 509.092, Fla. Stat. </w:t>
      </w:r>
      <w:r>
        <w:rPr>
          <w:rFonts w:ascii="Arial" w:eastAsia="Arial" w:hAnsi="Arial" w:cs="Arial"/>
          <w:color w:val="000000"/>
          <w:sz w:val="18"/>
        </w:rPr>
        <w:t>(discrimination in places of public accommodations), discussed at § 12.</w:t>
      </w:r>
    </w:p>
  </w:footnote>
  <w:footnote w:id="57">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760.11(1), Fla. Stat.</w:t>
      </w:r>
    </w:p>
  </w:footnote>
  <w:footnote w:id="58">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760.11(1), Fla. Stat.</w:t>
      </w:r>
    </w:p>
  </w:footnote>
  <w:footnote w:id="59">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Ross v. Jim Adams Ford, Inc., 871 So. 2d 312 (Fla. Dist. Ct. App. 2d Dist. 2004).</w:t>
      </w:r>
    </w:p>
  </w:footnote>
  <w:footnote w:id="60">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Santini v. Cleveland Clinic Florida, 8</w:t>
      </w:r>
      <w:r>
        <w:rPr>
          <w:rFonts w:ascii="Arial" w:eastAsia="Arial" w:hAnsi="Arial" w:cs="Arial"/>
          <w:color w:val="000000"/>
          <w:sz w:val="18"/>
        </w:rPr>
        <w:t>43 So. 2d 1029 (Fla. Dist. Ct. App. 4th Dist. 2003), referring to the definition at § 760.02(6), Fla. Stat.</w:t>
      </w:r>
    </w:p>
  </w:footnote>
  <w:footnote w:id="61">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760.02(10), Fla. Stat.</w:t>
      </w:r>
    </w:p>
  </w:footnote>
  <w:footnote w:id="62">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760.11(1), Fla. Stat.</w:t>
      </w:r>
    </w:p>
  </w:footnote>
  <w:footnote w:id="63">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Green v. Burger King Corp., 728 So. 2d 369 (Fla. Dist. Ct. App. 3d Dist. 1999).</w:t>
      </w:r>
    </w:p>
  </w:footnote>
  <w:footnote w:id="64">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w:t>
      </w:r>
      <w:r>
        <w:rPr>
          <w:rFonts w:ascii="Arial" w:eastAsia="Arial" w:hAnsi="Arial" w:cs="Arial"/>
          <w:color w:val="000000"/>
          <w:sz w:val="18"/>
        </w:rPr>
        <w:t xml:space="preserve"> 760.11(3), Fla. Stat.</w:t>
      </w:r>
    </w:p>
  </w:footnote>
  <w:footnote w:id="65">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 760.11(4), Fla. Stat.</w:t>
      </w:r>
    </w:p>
  </w:footnote>
  <w:footnote w:id="66">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760.11(4), Fla. Stat.</w:t>
      </w:r>
    </w:p>
  </w:footnote>
  <w:footnote w:id="67">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Webb v. Worldwide Flight Service, Inc., 407 F.3d 1192 (11th Cir. 2005) (applying Florida law).</w:t>
      </w:r>
    </w:p>
  </w:footnote>
  <w:footnote w:id="68">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 760.11(12), Fla. Stat.</w:t>
      </w:r>
    </w:p>
  </w:footnote>
  <w:footnote w:id="69">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760.11(5), Fla. Stat.</w:t>
      </w:r>
    </w:p>
  </w:footnote>
  <w:footnote w:id="70">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760.11(5), Fla. Stat., referring to § 768.28(5), Fla. Stat.</w:t>
      </w:r>
    </w:p>
  </w:footnote>
  <w:footnote w:id="71">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Board of Trustees of Florida State University v. Esposito, 991 So. 2d 924, 237 Ed. Law Rep. 934 (Fla. Dist. Ct. App. 1st Dist. 2008).</w:t>
      </w:r>
    </w:p>
  </w:footnote>
  <w:footnote w:id="72">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760.11(9), Fla. Stat.</w:t>
      </w:r>
    </w:p>
  </w:footnote>
  <w:footnote w:id="73">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760.11(5), Fla. Stat., also providing that it is the intent of the legislature that this provision be interpreted in a manner consistent with federal case law involving a Title VII action (42 U.S.C.A. §§ 2000e to 2000e-17).</w:t>
      </w:r>
    </w:p>
  </w:footnote>
  <w:footnote w:id="74">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Winn-Dixie Stores, In</w:t>
      </w:r>
      <w:r>
        <w:rPr>
          <w:rFonts w:ascii="Arial" w:eastAsia="Arial" w:hAnsi="Arial" w:cs="Arial"/>
          <w:color w:val="000000"/>
          <w:sz w:val="18"/>
        </w:rPr>
        <w:t>c. v. Reddick, 954 So. 2d 723 (Fla. Dist. Ct. App. 1st Dist. 2007).</w:t>
      </w:r>
    </w:p>
  </w:footnote>
  <w:footnote w:id="75">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760.11(5), Fla. Stat.</w:t>
      </w:r>
    </w:p>
  </w:footnote>
  <w:footnote w:id="76">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760.11(5), Fla. Stat.</w:t>
      </w:r>
    </w:p>
  </w:footnote>
  <w:footnote w:id="77">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760.11(5), Fla. Stat.</w:t>
      </w:r>
    </w:p>
  </w:footnote>
  <w:footnote w:id="78">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760.11(5), Fla. Stat.</w:t>
      </w:r>
    </w:p>
  </w:footnote>
  <w:footnote w:id="79">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 760.11(6), Fla. Stat., referring to §§ 120.569, 120.57, Fla. Stat.</w:t>
      </w:r>
    </w:p>
  </w:footnote>
  <w:footnote w:id="80">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 760.11(6), Fla. Stat.</w:t>
      </w:r>
    </w:p>
  </w:footnote>
  <w:footnote w:id="81">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760.11(6), Fla. Stat.</w:t>
      </w:r>
    </w:p>
  </w:footnote>
  <w:footnote w:id="82">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 760.11(9), Fla. Stat.</w:t>
      </w:r>
    </w:p>
  </w:footnote>
  <w:footnote w:id="83">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 760.11(6), Fla. Stat.</w:t>
      </w:r>
    </w:p>
  </w:footnote>
  <w:footnote w:id="84">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 760.11(6), Fla. Stat.</w:t>
      </w:r>
    </w:p>
  </w:footnote>
  <w:footnote w:id="85">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 760.11(6), Fla. Stat., this provis</w:t>
      </w:r>
      <w:r>
        <w:rPr>
          <w:rFonts w:ascii="Arial" w:eastAsia="Arial" w:hAnsi="Arial" w:cs="Arial"/>
          <w:color w:val="000000"/>
          <w:sz w:val="18"/>
        </w:rPr>
        <w:t>ion to be interpreted in a manner consistent with federal case law involving a Title VII action (42 U.S.C.A. §§ 2000e to 2000e-17).</w:t>
      </w:r>
    </w:p>
  </w:footnote>
  <w:footnote w:id="86">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Pagan v. Abraham Chevrolet-Tampa, Inc., 891 So. 2d 586 (Fla. Dist. Ct. App. 2d Dist. 2004); Martinez v. Abraham Chevrol</w:t>
      </w:r>
      <w:r>
        <w:rPr>
          <w:rFonts w:ascii="Arial" w:eastAsia="Arial" w:hAnsi="Arial" w:cs="Arial"/>
          <w:color w:val="000000"/>
          <w:sz w:val="18"/>
        </w:rPr>
        <w:t>et-Tampa, Inc., 891 So. 2d 579 (Fla. Dist. Ct. App. 2d Dist. 2004).</w:t>
      </w:r>
    </w:p>
  </w:footnote>
  <w:footnote w:id="87">
    <w:p w:rsidR="007A6EB4" w:rsidRDefault="006F3363">
      <w:pPr>
        <w:spacing w:before="120" w:line="240" w:lineRule="atLeast"/>
        <w:jc w:val="both"/>
      </w:pPr>
      <w:r>
        <w:rPr>
          <w:rFonts w:ascii="Arial" w:eastAsia="Arial" w:hAnsi="Arial" w:cs="Arial"/>
          <w:color w:val="000000"/>
          <w:sz w:val="18"/>
          <w:vertAlign w:val="superscript"/>
        </w:rPr>
        <w:t>n19 </w:t>
      </w:r>
      <w:r>
        <w:rPr>
          <w:rFonts w:ascii="Arial" w:eastAsia="Arial" w:hAnsi="Arial" w:cs="Arial"/>
          <w:color w:val="000000"/>
          <w:sz w:val="18"/>
        </w:rPr>
        <w:t xml:space="preserve"> § 760.11(7), Fla. Stat.</w:t>
      </w:r>
    </w:p>
  </w:footnote>
  <w:footnote w:id="88">
    <w:p w:rsidR="007A6EB4" w:rsidRDefault="006F3363">
      <w:pPr>
        <w:spacing w:before="120" w:line="240" w:lineRule="atLeast"/>
        <w:jc w:val="both"/>
      </w:pPr>
      <w:r>
        <w:rPr>
          <w:rFonts w:ascii="Arial" w:eastAsia="Arial" w:hAnsi="Arial" w:cs="Arial"/>
          <w:color w:val="000000"/>
          <w:sz w:val="18"/>
          <w:vertAlign w:val="superscript"/>
        </w:rPr>
        <w:t>n20 </w:t>
      </w:r>
      <w:r>
        <w:rPr>
          <w:rFonts w:ascii="Arial" w:eastAsia="Arial" w:hAnsi="Arial" w:cs="Arial"/>
          <w:color w:val="000000"/>
          <w:sz w:val="18"/>
        </w:rPr>
        <w:t xml:space="preserve"> Vandesande v. Miami-Dade County, 431 F. Supp. 2d 1245 (S.D. Fla. 2006).</w:t>
      </w:r>
    </w:p>
  </w:footnote>
  <w:footnote w:id="89">
    <w:p w:rsidR="007A6EB4" w:rsidRDefault="006F3363">
      <w:pPr>
        <w:spacing w:before="120" w:line="240" w:lineRule="atLeast"/>
        <w:jc w:val="both"/>
      </w:pPr>
      <w:r>
        <w:rPr>
          <w:rFonts w:ascii="Arial" w:eastAsia="Arial" w:hAnsi="Arial" w:cs="Arial"/>
          <w:color w:val="000000"/>
          <w:sz w:val="18"/>
          <w:vertAlign w:val="superscript"/>
        </w:rPr>
        <w:t>n21 </w:t>
      </w:r>
      <w:r>
        <w:rPr>
          <w:rFonts w:ascii="Arial" w:eastAsia="Arial" w:hAnsi="Arial" w:cs="Arial"/>
          <w:color w:val="000000"/>
          <w:sz w:val="18"/>
        </w:rPr>
        <w:t xml:space="preserve"> Sheely v. MRI Radiology Network, P.A., 505 F.3d 1173 (11th Cir. 2007).</w:t>
      </w:r>
    </w:p>
  </w:footnote>
  <w:footnote w:id="90">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w:t>
      </w:r>
      <w:r>
        <w:rPr>
          <w:rFonts w:ascii="Arial" w:eastAsia="Arial" w:hAnsi="Arial" w:cs="Arial"/>
          <w:color w:val="000000"/>
          <w:sz w:val="18"/>
        </w:rPr>
        <w:t>760.11(7), Fla. Stat.</w:t>
      </w:r>
    </w:p>
  </w:footnote>
  <w:footnote w:id="91">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760.11(9), Fla. Stat.</w:t>
      </w:r>
    </w:p>
  </w:footnote>
  <w:footnote w:id="92">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760.11(7), Fla. Stat.</w:t>
      </w:r>
    </w:p>
  </w:footnote>
  <w:footnote w:id="93">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760.11(7), Fla. Stat., this provision to be interpreted in a manner consistent with federal case law involving a Title VII action (42 U.S.C.A. §§ 2000e to 2000e-17).</w:t>
      </w:r>
    </w:p>
  </w:footnote>
  <w:footnote w:id="94">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w:t>
      </w:r>
      <w:r>
        <w:rPr>
          <w:rFonts w:ascii="Arial" w:eastAsia="Arial" w:hAnsi="Arial" w:cs="Arial"/>
          <w:color w:val="000000"/>
          <w:sz w:val="18"/>
        </w:rPr>
        <w:t>760.11(7), Fla. Stat.</w:t>
      </w:r>
    </w:p>
  </w:footnote>
  <w:footnote w:id="95">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760.11(8), Fla. Stat.</w:t>
      </w:r>
    </w:p>
  </w:footnote>
  <w:footnote w:id="96">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Jackson v. Worldwide Flight Services, Inc., 960 So. 2d 3 (Fla. Dist. Ct. App. 3d Dist. 2005).</w:t>
      </w:r>
    </w:p>
  </w:footnote>
  <w:footnote w:id="97">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95.11(3)(f), Fla. Stat.</w:t>
      </w:r>
    </w:p>
  </w:footnote>
  <w:footnote w:id="98">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760.11(5), Fla. Stat.</w:t>
      </w:r>
    </w:p>
  </w:footnote>
  <w:footnote w:id="99">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Joshua v. City of Gainesville, 768 So. 2d 432 (Fla. 2000); White v. City of Pompano Beach, 813 So. 2d 1003 (Fla. Dist. Ct. App. 4th Dist. 2002).</w:t>
      </w:r>
    </w:p>
  </w:footnote>
  <w:footnote w:id="100">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Ross v. Jim Adams Ford, Inc., 871 So. 2d 312 (Fla. Dist. Ct. App. 2d Dist. 2004).</w:t>
      </w:r>
    </w:p>
  </w:footnote>
  <w:footnote w:id="101">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760.11(11), Fla. </w:t>
      </w:r>
      <w:r>
        <w:rPr>
          <w:rFonts w:ascii="Arial" w:eastAsia="Arial" w:hAnsi="Arial" w:cs="Arial"/>
          <w:color w:val="000000"/>
          <w:sz w:val="18"/>
        </w:rPr>
        <w:t>Stat.</w:t>
      </w:r>
    </w:p>
  </w:footnote>
  <w:footnote w:id="102">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760.11(11), Fla. Stat.</w:t>
      </w:r>
    </w:p>
  </w:footnote>
  <w:footnote w:id="103">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760.11(10), Fla. Stat.</w:t>
      </w:r>
    </w:p>
  </w:footnote>
  <w:footnote w:id="104">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760.11(13), Fla. Stat., referring to review pursuant to § 120.68, Fla. Stat.</w:t>
      </w:r>
    </w:p>
  </w:footnote>
  <w:footnote w:id="105">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760.11(13), Fla. Stat.</w:t>
      </w:r>
    </w:p>
  </w:footnote>
  <w:footnote w:id="106">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760.11(13), Fla. Stat., referring to an action brought under § 760.11(5), Fla. Stat.</w:t>
      </w:r>
    </w:p>
  </w:footnote>
  <w:footnote w:id="107">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760.08, Fla. Stat.</w:t>
      </w:r>
    </w:p>
  </w:footnote>
  <w:footnote w:id="108">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760.02(11), Fla. Stat., the statute further enumerating establishments specifically included within its meaning.</w:t>
      </w:r>
    </w:p>
  </w:footnote>
  <w:footnote w:id="109">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760.07, Fla. Stat.</w:t>
      </w:r>
    </w:p>
  </w:footnote>
  <w:footnote w:id="110">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Sheely v. MRI Radiology Network, P.A., 505 F.3d 1173 (11th Cir. 2007).</w:t>
      </w:r>
    </w:p>
  </w:footnote>
  <w:footnote w:id="111">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509.092, 760.01 to 760.11, Fla. Stat.</w:t>
      </w:r>
    </w:p>
  </w:footnote>
  <w:footnote w:id="112">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760.07, Fla. Stat.</w:t>
      </w:r>
    </w:p>
  </w:footnote>
  <w:footnote w:id="113">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Sheely v. MRI Radiology Network, P.A., 505 F.3d 1173 (11th Cir. 2007).</w:t>
      </w:r>
    </w:p>
  </w:footnote>
  <w:footnote w:id="114">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Fla. Att'y Gen. Op. 2008-58 (20</w:t>
      </w:r>
      <w:r>
        <w:rPr>
          <w:rFonts w:ascii="Arial" w:eastAsia="Arial" w:hAnsi="Arial" w:cs="Arial"/>
          <w:color w:val="000000"/>
          <w:sz w:val="18"/>
        </w:rPr>
        <w:t>08).</w:t>
      </w:r>
    </w:p>
  </w:footnote>
  <w:footnote w:id="115">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Mena v. Lifemark Hospitals of Florida, Inc., 50 So. 3d 759 (Fla. Dist. Ct. App. 1st Dist. 2010).</w:t>
      </w:r>
    </w:p>
  </w:footnote>
  <w:footnote w:id="116">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509.092, Fla. Stat.</w:t>
      </w:r>
    </w:p>
  </w:footnote>
  <w:footnote w:id="117">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509.092, Fla. Stat., referring to § 760.11, Fla. Stat.</w:t>
      </w:r>
    </w:p>
  </w:footnote>
  <w:footnote w:id="118">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509.141(1), Fla. Stat.</w:t>
      </w:r>
    </w:p>
    <w:p w:rsidR="007A6EB4" w:rsidRDefault="006F3363">
      <w:pPr>
        <w:spacing w:before="120" w:line="240" w:lineRule="atLeast"/>
        <w:jc w:val="both"/>
      </w:pPr>
      <w:r>
        <w:rPr>
          <w:rFonts w:ascii="Arial" w:eastAsia="Arial" w:hAnsi="Arial" w:cs="Arial"/>
          <w:color w:val="000000"/>
          <w:sz w:val="18"/>
        </w:rPr>
        <w:t>As to grounds for removal or eject</w:t>
      </w:r>
      <w:r>
        <w:rPr>
          <w:rFonts w:ascii="Arial" w:eastAsia="Arial" w:hAnsi="Arial" w:cs="Arial"/>
          <w:color w:val="000000"/>
          <w:sz w:val="18"/>
        </w:rPr>
        <w:t>ion of an undesirable guest, generally, see Fla. Jur. 2d, Hotels, Motels, and Restaurants § 40.</w:t>
      </w:r>
    </w:p>
  </w:footnote>
  <w:footnote w:id="119">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413.08(2), Fla. Stat.</w:t>
      </w:r>
    </w:p>
    <w:p w:rsidR="007A6EB4" w:rsidRDefault="006F3363">
      <w:pPr>
        <w:spacing w:before="120" w:line="240" w:lineRule="atLeast"/>
        <w:jc w:val="both"/>
      </w:pPr>
      <w:r>
        <w:rPr>
          <w:rFonts w:ascii="Arial" w:eastAsia="Arial" w:hAnsi="Arial" w:cs="Arial"/>
          <w:color w:val="000000"/>
          <w:sz w:val="18"/>
        </w:rPr>
        <w:t>As to accommodation of physically disabled persons in the courts of the state, see Fla. R. Jud. Admin. 2.540.</w:t>
      </w:r>
    </w:p>
  </w:footnote>
  <w:footnote w:id="120">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413.08(2), Fla. </w:t>
      </w:r>
      <w:r>
        <w:rPr>
          <w:rFonts w:ascii="Arial" w:eastAsia="Arial" w:hAnsi="Arial" w:cs="Arial"/>
          <w:color w:val="000000"/>
          <w:sz w:val="18"/>
        </w:rPr>
        <w:t>Stat.</w:t>
      </w:r>
    </w:p>
  </w:footnote>
  <w:footnote w:id="121">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413.08(3), Fla. Stat.</w:t>
      </w:r>
    </w:p>
  </w:footnote>
  <w:footnote w:id="122">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413.08(8), Fla. Stat.</w:t>
      </w:r>
    </w:p>
    <w:p w:rsidR="007A6EB4" w:rsidRDefault="006F3363">
      <w:pPr>
        <w:spacing w:before="120" w:line="240" w:lineRule="atLeast"/>
        <w:jc w:val="both"/>
      </w:pPr>
      <w:r>
        <w:rPr>
          <w:rFonts w:ascii="Arial" w:eastAsia="Arial" w:hAnsi="Arial" w:cs="Arial"/>
          <w:color w:val="000000"/>
          <w:sz w:val="18"/>
        </w:rPr>
        <w:t>§ 413.081, Fla. Stat. makes criminal specified conduct interfering with or injuring service animals.</w:t>
      </w:r>
    </w:p>
  </w:footnote>
  <w:footnote w:id="123">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413.08, Fla. Stat.</w:t>
      </w:r>
    </w:p>
  </w:footnote>
  <w:footnote w:id="124">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413.08(1)(b), Fla. Stat.</w:t>
      </w:r>
    </w:p>
  </w:footnote>
  <w:footnote w:id="125">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413.08(1)(c), Fla. Stat.</w:t>
      </w:r>
    </w:p>
  </w:footnote>
  <w:footnote w:id="126">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760.02(11), Fla. Stat., as discussed, generally, in § 11.</w:t>
      </w:r>
    </w:p>
  </w:footnote>
  <w:footnote w:id="127">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413.08(1)(c), Fla. Stat.</w:t>
      </w:r>
    </w:p>
  </w:footnote>
  <w:footnote w:id="128">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509.092, 760.01 to 760.11, Fla. Stat.</w:t>
      </w:r>
    </w:p>
  </w:footnote>
  <w:footnote w:id="129">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 760.07, Fla. Stat.</w:t>
      </w:r>
    </w:p>
  </w:footnote>
  <w:footnote w:id="130">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Sheely v. MRI Radiology Network, P.A., 505 F.3d 1173 (11th Cir. 2007).</w:t>
      </w:r>
    </w:p>
  </w:footnote>
  <w:footnote w:id="131">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413.08(4), Fla. Stat., referring to §§ 775.082, 775.083, Fla. Stat.</w:t>
      </w:r>
    </w:p>
  </w:footnote>
  <w:footnote w:id="132">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 Fla. Stat.</w:t>
      </w:r>
    </w:p>
  </w:footnote>
  <w:footnote w:id="133">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42 U.S.C.A. §§ 2000e to 2000e-17.</w:t>
      </w:r>
    </w:p>
  </w:footnote>
  <w:footnote w:id="134">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Castleberry v. Edward M. Chadbourne, Inc.,</w:t>
      </w:r>
      <w:r>
        <w:rPr>
          <w:rFonts w:ascii="Arial" w:eastAsia="Arial" w:hAnsi="Arial" w:cs="Arial"/>
          <w:color w:val="000000"/>
          <w:sz w:val="18"/>
        </w:rPr>
        <w:t xml:space="preserve"> 810 So. 2d 1028 (Fla. Dist. Ct. App. 1st Dist. 2002).</w:t>
      </w:r>
    </w:p>
  </w:footnote>
  <w:footnote w:id="135">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Mousa v. Lauda Air Luftfahrt, A.G., 258 F. Supp. 2d 1329 (S.D. Fla. 2003).</w:t>
      </w:r>
    </w:p>
  </w:footnote>
  <w:footnote w:id="136">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760.10(1)(a), Fla. Stat.</w:t>
      </w:r>
    </w:p>
  </w:footnote>
  <w:footnote w:id="137">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760.10(1)(b), Fla. Stat.</w:t>
      </w:r>
    </w:p>
  </w:footnote>
  <w:footnote w:id="138">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760.02(7), Fla. Stat.</w:t>
      </w:r>
    </w:p>
  </w:footnote>
  <w:footnote w:id="139">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760.02(6), Fla. Stat.</w:t>
      </w:r>
    </w:p>
  </w:footnote>
  <w:footnote w:id="140">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w:t>
      </w:r>
      <w:r>
        <w:rPr>
          <w:rFonts w:ascii="Arial" w:eastAsia="Arial" w:hAnsi="Arial" w:cs="Arial"/>
          <w:color w:val="000000"/>
          <w:sz w:val="18"/>
        </w:rPr>
        <w:t>Laborers' Intern. Union of North America, Local 478 v. Burroughs, 541 So. 2d 1160 (Fla. 1989).</w:t>
      </w:r>
    </w:p>
  </w:footnote>
  <w:footnote w:id="141">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Mousa v. Lauda Air Luftfahrt, A.G., 258 F. Supp. 2d 1329 (S.D. Fla. 2003).</w:t>
      </w:r>
    </w:p>
  </w:footnote>
  <w:footnote w:id="142">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Regency Towers Owners Ass'n, Inc. v. Pettigrew, 436 So. 2d 266 (Fla. Dist. Ct.</w:t>
      </w:r>
      <w:r>
        <w:rPr>
          <w:rFonts w:ascii="Arial" w:eastAsia="Arial" w:hAnsi="Arial" w:cs="Arial"/>
          <w:color w:val="000000"/>
          <w:sz w:val="18"/>
        </w:rPr>
        <w:t xml:space="preserve"> App. 1st Dist. 1983) (construing the former Human Relations Act).</w:t>
      </w:r>
    </w:p>
  </w:footnote>
  <w:footnote w:id="143">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Patterson v. Consumer Debt Management and Educ., Inc., 975 So. 2d 1290 (Fla. Dist. Ct. App. 4th Dist. 2008).</w:t>
      </w:r>
    </w:p>
  </w:footnote>
  <w:footnote w:id="144">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Mousa v. Lauda Air Luftfahrt, A.G., 258 F. Supp. 2d 1329 (S.D. Fla. 2003</w:t>
      </w:r>
      <w:r>
        <w:rPr>
          <w:rFonts w:ascii="Arial" w:eastAsia="Arial" w:hAnsi="Arial" w:cs="Arial"/>
          <w:color w:val="000000"/>
          <w:sz w:val="18"/>
        </w:rPr>
        <w:t>).</w:t>
      </w:r>
    </w:p>
  </w:footnote>
  <w:footnote w:id="145">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Byrd v. BT Foods, Inc., 948 So. 2d 921 (Fla. Dist. Ct. App. 4th Dist. 2007).</w:t>
      </w:r>
    </w:p>
    <w:p w:rsidR="007A6EB4" w:rsidRDefault="006F3363">
      <w:pPr>
        <w:spacing w:before="120" w:line="240" w:lineRule="atLeast"/>
        <w:jc w:val="both"/>
      </w:pPr>
      <w:r>
        <w:rPr>
          <w:rFonts w:ascii="Arial" w:eastAsia="Arial" w:hAnsi="Arial" w:cs="Arial"/>
          <w:color w:val="000000"/>
          <w:sz w:val="18"/>
        </w:rPr>
        <w:t>As to the Florida Omnibus AIDS Act, see § 32.</w:t>
      </w:r>
    </w:p>
  </w:footnote>
  <w:footnote w:id="146">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Byrd v. BT Foods, Inc., 948 So. 2d 921 (Fla. Dist. Ct. App. 4th Dist. 2007).</w:t>
      </w:r>
    </w:p>
  </w:footnote>
  <w:footnote w:id="147">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Byrd v. BT Foods, Inc., 948 So. 2d 921</w:t>
      </w:r>
      <w:r>
        <w:rPr>
          <w:rFonts w:ascii="Arial" w:eastAsia="Arial" w:hAnsi="Arial" w:cs="Arial"/>
          <w:color w:val="000000"/>
          <w:sz w:val="18"/>
        </w:rPr>
        <w:t xml:space="preserve"> (Fla. Dist. Ct. App. 4th Dist. 2007).</w:t>
      </w:r>
    </w:p>
  </w:footnote>
  <w:footnote w:id="148">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Greenfield v. City of Miami Beach, Fla., 844 F. Supp. 1519 (S.D. Fla. 1992), aff'd, 20 F.3d 1174 (11th Cir. 1994).</w:t>
      </w:r>
    </w:p>
  </w:footnote>
  <w:footnote w:id="149">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Razner v. Wellington Regional Medical Center, Inc., 837 So. 2d 437 (Fla. Dist. Ct. App. 4th Dist. 2002).</w:t>
      </w:r>
    </w:p>
  </w:footnote>
  <w:footnote w:id="150">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Greene v. Seminole Elec. Co</w:t>
      </w:r>
      <w:r>
        <w:rPr>
          <w:rFonts w:ascii="Arial" w:eastAsia="Arial" w:hAnsi="Arial" w:cs="Arial"/>
          <w:color w:val="000000"/>
          <w:sz w:val="18"/>
        </w:rPr>
        <w:t>-op., Inc., 701 So. 2d 646 (Fla. Dist. Ct. App. 5th Dist. 1997).</w:t>
      </w:r>
    </w:p>
  </w:footnote>
  <w:footnote w:id="151">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Garavito v. City of Tampa, 640 F. Supp. 2d 1374 (M.D. Fla. 2009).</w:t>
      </w:r>
    </w:p>
  </w:footnote>
  <w:footnote w:id="152">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St. Johns County School Dist. v. O'Brien, 973 So. 2d 535, 229 Ed. Law Rep. 996 (Fla. Dist. Ct. App. 5th Dist. 2007).</w:t>
      </w:r>
    </w:p>
  </w:footnote>
  <w:footnote w:id="153">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Greene v. Seminole Elec. Co-op., Inc., 701 So. 2d 646 (Fla. Dist. Ct. App. 5th Dist. 1997).</w:t>
      </w:r>
    </w:p>
  </w:footnote>
  <w:footnote w:id="154">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Greene v. Seminole Elec. Co-op., Inc.,</w:t>
      </w:r>
      <w:r>
        <w:rPr>
          <w:rFonts w:ascii="Arial" w:eastAsia="Arial" w:hAnsi="Arial" w:cs="Arial"/>
          <w:color w:val="000000"/>
          <w:sz w:val="18"/>
        </w:rPr>
        <w:t xml:space="preserve"> 701 So. 2d 646 (Fla. Dist. Ct. App. 5th Dist. 1997).</w:t>
      </w:r>
    </w:p>
  </w:footnote>
  <w:footnote w:id="155">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760.10(2), Fla. Stat.</w:t>
      </w:r>
    </w:p>
  </w:footnote>
  <w:footnote w:id="156">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760.02(8), Fla. Stat.</w:t>
      </w:r>
    </w:p>
  </w:footnote>
  <w:footnote w:id="157">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760.10(3)(a), Fla. Stat.</w:t>
      </w:r>
    </w:p>
  </w:footnote>
  <w:footnote w:id="158">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760.10(3)(b), Fla. Stat.</w:t>
      </w:r>
    </w:p>
  </w:footnote>
  <w:footnote w:id="159">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760.10(3)(c), Fla. Stat.</w:t>
      </w:r>
    </w:p>
  </w:footnote>
  <w:footnote w:id="160">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760.02(9), Fla. Stat.</w:t>
      </w:r>
    </w:p>
  </w:footnote>
  <w:footnote w:id="161">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760.10(4), Fla. Sta</w:t>
      </w:r>
      <w:r>
        <w:rPr>
          <w:rFonts w:ascii="Arial" w:eastAsia="Arial" w:hAnsi="Arial" w:cs="Arial"/>
          <w:color w:val="000000"/>
          <w:sz w:val="18"/>
        </w:rPr>
        <w:t>t.</w:t>
      </w:r>
    </w:p>
  </w:footnote>
  <w:footnote w:id="162">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760.10(5), Fla. Stat.</w:t>
      </w:r>
    </w:p>
  </w:footnote>
  <w:footnote w:id="163">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760.10(6), Fla. Stat.</w:t>
      </w:r>
    </w:p>
  </w:footnote>
  <w:footnote w:id="16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Castleberry v. Edward M. Chadbourne, Inc., 810 So. 2d 1028 (Fla. Dist. Ct. App. 1st Dist. 2002).</w:t>
      </w:r>
    </w:p>
  </w:footnote>
  <w:footnote w:id="165">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Laborers' Intern. Union of North America, Local 478 v. Burroughs, 541 So. 2d 1160 (Fla. 1989</w:t>
      </w:r>
      <w:r>
        <w:rPr>
          <w:rFonts w:ascii="Arial" w:eastAsia="Arial" w:hAnsi="Arial" w:cs="Arial"/>
          <w:color w:val="000000"/>
          <w:sz w:val="18"/>
        </w:rPr>
        <w:t>).</w:t>
      </w:r>
    </w:p>
  </w:footnote>
  <w:footnote w:id="166">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Maldonado v. Publix Supermarkets, 939 So. 2d 290 (Fla. Dist. Ct. App. 4th Dist. 2006).</w:t>
      </w:r>
    </w:p>
  </w:footnote>
  <w:footnote w:id="167">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Natson v. Eckerd Corp., Inc., 885 So. 2d 945 (Fla. Dist. Ct. App. 4th Dist. 2004); Castleberry v. Edward M. Chadbourne, Inc., 810 So. 2d 1028 (Fla. Dist. Ct. </w:t>
      </w:r>
      <w:r>
        <w:rPr>
          <w:rFonts w:ascii="Arial" w:eastAsia="Arial" w:hAnsi="Arial" w:cs="Arial"/>
          <w:color w:val="000000"/>
          <w:sz w:val="18"/>
        </w:rPr>
        <w:t>App. 1st Dist. 2002) (harassment by coworker).</w:t>
      </w:r>
    </w:p>
  </w:footnote>
  <w:footnote w:id="168">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Speedway SuperAmerica, LLC v. Dupont, 933 So. 2d 75 (Fla. Dist. Ct. App. 5th Dist. 2006).</w:t>
      </w:r>
    </w:p>
  </w:footnote>
  <w:footnote w:id="169">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Speedway SuperAmerica, LLC v. Dupont, 933 So. 2d 75 (Fla. Dist. Ct. App. 5th Dist. 2006).</w:t>
      </w:r>
    </w:p>
  </w:footnote>
  <w:footnote w:id="170">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Blizzard v. Appli</w:t>
      </w:r>
      <w:r>
        <w:rPr>
          <w:rFonts w:ascii="Arial" w:eastAsia="Arial" w:hAnsi="Arial" w:cs="Arial"/>
          <w:color w:val="000000"/>
          <w:sz w:val="18"/>
        </w:rPr>
        <w:t>ance Direct, Inc., 16 So. 3d 922 (Fla. Dist. Ct. App. 5th Dist. 2009).</w:t>
      </w:r>
    </w:p>
  </w:footnote>
  <w:footnote w:id="171">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Blizzard v. Appliance Direct, Inc., 16 So. 3d 922 (Fla. Dist. Ct. App. 5th Dist. 2009); Speedway SuperAmerica, LLC v. Dupont, 933 So. 2d 75 (Fla. Dist. Ct. App. 5th Dist. 2006).</w:t>
      </w:r>
    </w:p>
  </w:footnote>
  <w:footnote w:id="172">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Blizzard v. Appliance Direct, Inc., 16 So. 3d 922 (Fla. Dist. Ct. App. 5th Dist. 2009); Maldonado v. Publix Supermarkets, 939 So. 2d 290 (Fla. Dist. Ct. App. 4th Dist. 2006); Speedway SuperAmerica, LLC v. Dupont, 933 So. 2d 75 (Fla. Dist. Ct. App. 5th Dis</w:t>
      </w:r>
      <w:r>
        <w:rPr>
          <w:rFonts w:ascii="Arial" w:eastAsia="Arial" w:hAnsi="Arial" w:cs="Arial"/>
          <w:color w:val="000000"/>
          <w:sz w:val="18"/>
        </w:rPr>
        <w:t>t. 2006).</w:t>
      </w:r>
    </w:p>
  </w:footnote>
  <w:footnote w:id="173">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Speedway SuperAmerica, LLC v. Dupont, 933 So. 2d 75 (Fla. Dist. Ct. App. 5th Dist. 2006).</w:t>
      </w:r>
    </w:p>
  </w:footnote>
  <w:footnote w:id="174">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Blizzard v. Appliance Direct, Inc., 16 So. 3d 922 (Fla. Dist. Ct. App. 5th Dist. 2009); Speedway SuperAmerica, LLC v. Dupont, 933 So. 2d 75 (Fla. </w:t>
      </w:r>
      <w:r>
        <w:rPr>
          <w:rFonts w:ascii="Arial" w:eastAsia="Arial" w:hAnsi="Arial" w:cs="Arial"/>
          <w:color w:val="000000"/>
          <w:sz w:val="18"/>
        </w:rPr>
        <w:t>Dist. Ct. App. 5th Dist. 2006); Natson v. Eckerd Corp., Inc., 885 So. 2d 945 (Fla. Dist. Ct. App. 4th Dist. 2004).</w:t>
      </w:r>
    </w:p>
  </w:footnote>
  <w:footnote w:id="175">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Speedway SuperAmerica, LLC v. Dupont, 933 So. 2d 75 (Fla. Dist. Ct. App. 5th Dist. 2006).</w:t>
      </w:r>
    </w:p>
  </w:footnote>
  <w:footnote w:id="176">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Blizzard v. Appliance Direct, Inc., 16 So. 3d 922 (Fla. Dist. Ct. App. 5th Dist. 2009).</w:t>
      </w:r>
    </w:p>
  </w:footnote>
  <w:footnote w:id="177">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Russell v. KSL Hotel Corp., 887 So. 2d 372 (Fla. Dist. Ct. App. 3d Dist. 2004).</w:t>
      </w:r>
    </w:p>
  </w:footnote>
  <w:footnote w:id="178">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Maldonado v. Publix Supermarkets, 939 So. 2d 290 (Fla. Dist. Ct. App. 4th Dist. 2006).</w:t>
      </w:r>
    </w:p>
  </w:footnote>
  <w:footnote w:id="179">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Speedway SuperAmerica, LLC v. Dupont, 933 So. 2d 75 (Fla. Dist. Ct. App. 5th Dist. 2006).</w:t>
      </w:r>
    </w:p>
  </w:footnote>
  <w:footnote w:id="180">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Speedway SuperAmerica, LLC v. Dupont, 933 So. 2d 75 (Fla. Dist. Ct. </w:t>
      </w:r>
      <w:r>
        <w:rPr>
          <w:rFonts w:ascii="Arial" w:eastAsia="Arial" w:hAnsi="Arial" w:cs="Arial"/>
          <w:color w:val="000000"/>
          <w:sz w:val="18"/>
        </w:rPr>
        <w:t>App. 5th Dist. 2006).</w:t>
      </w:r>
    </w:p>
  </w:footnote>
  <w:footnote w:id="181">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 760.10, Fla. Stat., as discussed, generally, in § 14.</w:t>
      </w:r>
    </w:p>
  </w:footnote>
  <w:footnote w:id="182">
    <w:p w:rsidR="007A6EB4" w:rsidRDefault="006F3363">
      <w:pPr>
        <w:spacing w:before="120" w:line="240" w:lineRule="atLeast"/>
        <w:jc w:val="both"/>
      </w:pPr>
      <w:r>
        <w:rPr>
          <w:rFonts w:ascii="Arial" w:eastAsia="Arial" w:hAnsi="Arial" w:cs="Arial"/>
          <w:color w:val="000000"/>
          <w:sz w:val="18"/>
          <w:vertAlign w:val="superscript"/>
        </w:rPr>
        <w:t>n19 </w:t>
      </w:r>
      <w:r>
        <w:rPr>
          <w:rFonts w:ascii="Arial" w:eastAsia="Arial" w:hAnsi="Arial" w:cs="Arial"/>
          <w:color w:val="000000"/>
          <w:sz w:val="18"/>
        </w:rPr>
        <w:t xml:space="preserve"> Speedway SuperAmerica, LLC v. Dupont, 933 So. 2d 75 (Fla. Dist. Ct. App. 5th Dist. 2006).</w:t>
      </w:r>
    </w:p>
  </w:footnote>
  <w:footnote w:id="183">
    <w:p w:rsidR="007A6EB4" w:rsidRDefault="006F3363">
      <w:pPr>
        <w:spacing w:before="120" w:line="240" w:lineRule="atLeast"/>
        <w:jc w:val="both"/>
      </w:pPr>
      <w:r>
        <w:rPr>
          <w:rFonts w:ascii="Arial" w:eastAsia="Arial" w:hAnsi="Arial" w:cs="Arial"/>
          <w:color w:val="000000"/>
          <w:sz w:val="18"/>
          <w:vertAlign w:val="superscript"/>
        </w:rPr>
        <w:t>n20 </w:t>
      </w:r>
      <w:r>
        <w:rPr>
          <w:rFonts w:ascii="Arial" w:eastAsia="Arial" w:hAnsi="Arial" w:cs="Arial"/>
          <w:color w:val="000000"/>
          <w:sz w:val="18"/>
        </w:rPr>
        <w:t xml:space="preserve"> Boone v. Total Renal Laboratories, Inc., 565 F. Supp. 2d 1323 (M.D. Fla. </w:t>
      </w:r>
      <w:r>
        <w:rPr>
          <w:rFonts w:ascii="Arial" w:eastAsia="Arial" w:hAnsi="Arial" w:cs="Arial"/>
          <w:color w:val="000000"/>
          <w:sz w:val="18"/>
        </w:rPr>
        <w:t>2008).</w:t>
      </w:r>
    </w:p>
  </w:footnote>
  <w:footnote w:id="184">
    <w:p w:rsidR="007A6EB4" w:rsidRDefault="006F3363">
      <w:pPr>
        <w:spacing w:before="120" w:line="240" w:lineRule="atLeast"/>
        <w:jc w:val="both"/>
      </w:pPr>
      <w:r>
        <w:rPr>
          <w:rFonts w:ascii="Arial" w:eastAsia="Arial" w:hAnsi="Arial" w:cs="Arial"/>
          <w:color w:val="000000"/>
          <w:sz w:val="18"/>
          <w:vertAlign w:val="superscript"/>
        </w:rPr>
        <w:t>n21 </w:t>
      </w:r>
      <w:r>
        <w:rPr>
          <w:rFonts w:ascii="Arial" w:eastAsia="Arial" w:hAnsi="Arial" w:cs="Arial"/>
          <w:color w:val="000000"/>
          <w:sz w:val="18"/>
        </w:rPr>
        <w:t xml:space="preserve"> 42 U.S.C.A. §§ 2000e to 2000e-17.</w:t>
      </w:r>
    </w:p>
  </w:footnote>
  <w:footnote w:id="185">
    <w:p w:rsidR="007A6EB4" w:rsidRDefault="006F3363">
      <w:pPr>
        <w:spacing w:before="120" w:line="240" w:lineRule="atLeast"/>
        <w:jc w:val="both"/>
      </w:pPr>
      <w:r>
        <w:rPr>
          <w:rFonts w:ascii="Arial" w:eastAsia="Arial" w:hAnsi="Arial" w:cs="Arial"/>
          <w:color w:val="000000"/>
          <w:sz w:val="18"/>
          <w:vertAlign w:val="superscript"/>
        </w:rPr>
        <w:t>n22 </w:t>
      </w:r>
      <w:r>
        <w:rPr>
          <w:rFonts w:ascii="Arial" w:eastAsia="Arial" w:hAnsi="Arial" w:cs="Arial"/>
          <w:color w:val="000000"/>
          <w:sz w:val="18"/>
        </w:rPr>
        <w:t xml:space="preserve"> O'Loughlin v. Pinchback, 579 So. 2d 788 (Fla. Dist. Ct. App. 1st Dist. 1991).</w:t>
      </w:r>
    </w:p>
  </w:footnote>
  <w:footnote w:id="186">
    <w:p w:rsidR="007A6EB4" w:rsidRDefault="006F3363">
      <w:pPr>
        <w:spacing w:before="120" w:line="240" w:lineRule="atLeast"/>
        <w:jc w:val="both"/>
      </w:pPr>
      <w:r>
        <w:rPr>
          <w:rFonts w:ascii="Arial" w:eastAsia="Arial" w:hAnsi="Arial" w:cs="Arial"/>
          <w:color w:val="000000"/>
          <w:sz w:val="18"/>
          <w:vertAlign w:val="superscript"/>
        </w:rPr>
        <w:t>n23 </w:t>
      </w:r>
      <w:r>
        <w:rPr>
          <w:rFonts w:ascii="Arial" w:eastAsia="Arial" w:hAnsi="Arial" w:cs="Arial"/>
          <w:color w:val="000000"/>
          <w:sz w:val="18"/>
        </w:rPr>
        <w:t xml:space="preserve"> Boone v. Total Renal Laboratories, Inc., 565 F. Supp. 2d 1323 (M.D. Fla. 2008) (applying Florida law).</w:t>
      </w:r>
    </w:p>
  </w:footnote>
  <w:footnote w:id="187">
    <w:p w:rsidR="007A6EB4" w:rsidRDefault="006F3363">
      <w:pPr>
        <w:spacing w:before="120" w:line="240" w:lineRule="atLeast"/>
        <w:jc w:val="both"/>
      </w:pPr>
      <w:r>
        <w:rPr>
          <w:rFonts w:ascii="Arial" w:eastAsia="Arial" w:hAnsi="Arial" w:cs="Arial"/>
          <w:color w:val="000000"/>
          <w:sz w:val="18"/>
          <w:vertAlign w:val="superscript"/>
        </w:rPr>
        <w:t>n24 </w:t>
      </w:r>
      <w:r>
        <w:rPr>
          <w:rFonts w:ascii="Arial" w:eastAsia="Arial" w:hAnsi="Arial" w:cs="Arial"/>
          <w:color w:val="000000"/>
          <w:sz w:val="18"/>
        </w:rPr>
        <w:t xml:space="preserve"> Carsillov. Cit</w:t>
      </w:r>
      <w:r>
        <w:rPr>
          <w:rFonts w:ascii="Arial" w:eastAsia="Arial" w:hAnsi="Arial" w:cs="Arial"/>
          <w:color w:val="000000"/>
          <w:sz w:val="18"/>
        </w:rPr>
        <w:t>y of Lake Worth, 995 So. 2d 1118, 105 Fair Empl. Prac. Cas. (BNA) 672 (Fla. Dist. Ct. App.4th Dist.2008), stating that as Congress made clear in 1978 that its intent in the original enactment of Title VII in 1964, was to prohibit discrimination based on pr</w:t>
      </w:r>
      <w:r>
        <w:rPr>
          <w:rFonts w:ascii="Arial" w:eastAsia="Arial" w:hAnsi="Arial" w:cs="Arial"/>
          <w:color w:val="000000"/>
          <w:sz w:val="18"/>
        </w:rPr>
        <w:t>egnancy as sex discrimination, it was unnecessary for Florida to amend its law to prohibit pregnancy discrimination, that when Congress passed the Pregnancy Discrimination Act in 1978 it explained that it had intended to prohibit discrimination based on pr</w:t>
      </w:r>
      <w:r>
        <w:rPr>
          <w:rFonts w:ascii="Arial" w:eastAsia="Arial" w:hAnsi="Arial" w:cs="Arial"/>
          <w:color w:val="000000"/>
          <w:sz w:val="18"/>
        </w:rPr>
        <w:t>egnancy when it enacted Title VII in 1964 and that because it was the intent of Congress in 1964, to prohibit this discrimination the court would construe Florida statutes patterned after federal statutes in the same manner that the federal statutes were c</w:t>
      </w:r>
      <w:r>
        <w:rPr>
          <w:rFonts w:ascii="Arial" w:eastAsia="Arial" w:hAnsi="Arial" w:cs="Arial"/>
          <w:color w:val="000000"/>
          <w:sz w:val="18"/>
        </w:rPr>
        <w:t>onstrued, so that it followed that the sex discrimination prohibited in Florida since 1972 included discrimination based on pregnancy.</w:t>
      </w:r>
    </w:p>
  </w:footnote>
  <w:footnote w:id="188">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760.10(7), Fla. Stat.</w:t>
      </w:r>
    </w:p>
  </w:footnote>
  <w:footnote w:id="189">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Carter v. Health Management Associates, 989 So. 2d 1258 (Fla. Dist. Ct. App. 2d Dist. 200</w:t>
      </w:r>
      <w:r>
        <w:rPr>
          <w:rFonts w:ascii="Arial" w:eastAsia="Arial" w:hAnsi="Arial" w:cs="Arial"/>
          <w:color w:val="000000"/>
          <w:sz w:val="18"/>
        </w:rPr>
        <w:t>8); Guess v. City of Miramar, 889 So. 2d 840 (Fla. Dist. Ct. App. 4th Dist. 2004).</w:t>
      </w:r>
    </w:p>
  </w:footnote>
  <w:footnote w:id="190">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Guess v. City of Miramar, 889 So. 2d 840 (Fla. Dist. Ct. App. 4th Dist. 2004).</w:t>
      </w:r>
    </w:p>
  </w:footnote>
  <w:footnote w:id="191">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Carter v. Health Management Associates, 989 So. 2d 1258 (Fla. Dist. Ct. App. 2d Dist. </w:t>
      </w:r>
      <w:r>
        <w:rPr>
          <w:rFonts w:ascii="Arial" w:eastAsia="Arial" w:hAnsi="Arial" w:cs="Arial"/>
          <w:color w:val="000000"/>
          <w:sz w:val="18"/>
        </w:rPr>
        <w:t>2008).</w:t>
      </w:r>
    </w:p>
  </w:footnote>
  <w:footnote w:id="192">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Carter v. Health Management Associates, 989 So. 2d 1258 (Fla. Dist. Ct. App. 2d Dist. 2008).</w:t>
      </w:r>
    </w:p>
  </w:footnote>
  <w:footnote w:id="193">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Carter v. Health Management Associates, 989 So. 2d 1258 (Fla. Dist. Ct. App. 2d Dist. 2008).</w:t>
      </w:r>
    </w:p>
  </w:footnote>
  <w:footnote w:id="194">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Carter v. Health Management Associates, 989 So. 2d </w:t>
      </w:r>
      <w:r>
        <w:rPr>
          <w:rFonts w:ascii="Arial" w:eastAsia="Arial" w:hAnsi="Arial" w:cs="Arial"/>
          <w:color w:val="000000"/>
          <w:sz w:val="18"/>
        </w:rPr>
        <w:t>1258 (Fla. Dist. Ct. App. 2d Dist. 2008).</w:t>
      </w:r>
    </w:p>
  </w:footnote>
  <w:footnote w:id="195">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Gleason v. Roche Laboratories, Inc., 745 F. Supp. 2d 1262 (M.D. Fla. 2010) (applying Florida law); Miami-Dade County v. Eghbal, 54 So. 3d 525 (Fla. Dist. Ct. App. 3d Dist. 2011), review denied, 71 So. 3d 117 (F</w:t>
      </w:r>
      <w:r>
        <w:rPr>
          <w:rFonts w:ascii="Arial" w:eastAsia="Arial" w:hAnsi="Arial" w:cs="Arial"/>
          <w:color w:val="000000"/>
          <w:sz w:val="18"/>
        </w:rPr>
        <w:t>la. 2011); Blizzard v. Appliance Direct, Inc., 16 So. 3d 922 (Fla. Dist. Ct. App. 5th Dist. 2009).</w:t>
      </w:r>
    </w:p>
  </w:footnote>
  <w:footnote w:id="196">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Saridakis v. South Broward Hosp. Dist., 681 F. Supp. 2d 1338 (S.D. Fla. 2009).</w:t>
      </w:r>
    </w:p>
  </w:footnote>
  <w:footnote w:id="197">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Rodriguez v. City of Clermont, 681 F. Supp. 2d 1313 (M.D. Fla. 2009);</w:t>
      </w:r>
      <w:r>
        <w:rPr>
          <w:rFonts w:ascii="Arial" w:eastAsia="Arial" w:hAnsi="Arial" w:cs="Arial"/>
          <w:color w:val="000000"/>
          <w:sz w:val="18"/>
        </w:rPr>
        <w:t xml:space="preserve"> Verna v. Public Health Trust of Miami-Dade County, 539 F. Supp. 2d 1340 (S.D. Fla. 2008).</w:t>
      </w:r>
    </w:p>
  </w:footnote>
  <w:footnote w:id="198">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Gossard v. JP Morgan Chase &amp; Co., 612 F. Supp. 2d 1242 (S.D. Fla. 2009), aff'd, 389 Fed. Appx. 936 (11th Cir. 2010); Carter v. Health Management Associates, 989</w:t>
      </w:r>
      <w:r>
        <w:rPr>
          <w:rFonts w:ascii="Arial" w:eastAsia="Arial" w:hAnsi="Arial" w:cs="Arial"/>
          <w:color w:val="000000"/>
          <w:sz w:val="18"/>
        </w:rPr>
        <w:t xml:space="preserve"> So. 2d 1258 (Fla. Dist. Ct. App. 2d Dist. 2008).</w:t>
      </w:r>
    </w:p>
  </w:footnote>
  <w:footnote w:id="199">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Saridakis v. South Broward Hosp. Dist., 681 F. Supp. 2d 1338 (S.D. Fla. 2009).</w:t>
      </w:r>
    </w:p>
  </w:footnote>
  <w:footnote w:id="200">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Miami-Dade County v. Eghbal, 54 So. 3d 525 (Fla. Dist. Ct. App. 3d Dist. 2011), review denied, 71 So. 3d 117 (Fla. 20</w:t>
      </w:r>
      <w:r>
        <w:rPr>
          <w:rFonts w:ascii="Arial" w:eastAsia="Arial" w:hAnsi="Arial" w:cs="Arial"/>
          <w:color w:val="000000"/>
          <w:sz w:val="18"/>
        </w:rPr>
        <w:t>11).</w:t>
      </w:r>
    </w:p>
  </w:footnote>
  <w:footnote w:id="201">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Gleason v. Roche Laboratories, Inc., 745 F. Supp. 2d 1262 (M.D. Fla. 2010); Masso v. Miami-Dade County, 465 F. Supp. 2d 1260 (S.D. Fla. 2006), aff'd, 247 Fed. Appx. 190 (11th Cir. 2007).</w:t>
      </w:r>
    </w:p>
  </w:footnote>
  <w:footnote w:id="202">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Gleason v. Roche Laboratories, Inc., 745 F. Supp. 2d 1</w:t>
      </w:r>
      <w:r>
        <w:rPr>
          <w:rFonts w:ascii="Arial" w:eastAsia="Arial" w:hAnsi="Arial" w:cs="Arial"/>
          <w:color w:val="000000"/>
          <w:sz w:val="18"/>
        </w:rPr>
        <w:t>262 (M.D. Fla. 2010); St. Louis v. Florida Intern. University, 60 So. 3d 455, 267 Ed. Law Rep. 932 (Fla. Dist. Ct. App. 3d Dist. 2011).</w:t>
      </w:r>
    </w:p>
  </w:footnote>
  <w:footnote w:id="203">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Saridakis v. South Broward Hosp. Dist., 681 F. Supp. 2d 1338 (S.D. Fla. 2009).</w:t>
      </w:r>
    </w:p>
  </w:footnote>
  <w:footnote w:id="204">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Singh v. Green Thumb Landscaping, Inc., 390 F. Supp. 2d 1129 (M.D. Fla. 2005).</w:t>
      </w:r>
    </w:p>
  </w:footnote>
  <w:footnote w:id="205">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760.10(9), Fla. Stat., referring to § 760.10(1) to (8), Fla. Stat.</w:t>
      </w:r>
    </w:p>
  </w:footnote>
  <w:footnote w:id="206">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760.10(9), Fla. Stat.</w:t>
      </w:r>
    </w:p>
  </w:footnote>
  <w:footnote w:id="207">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760.10(8)(a), Fla. Stat.</w:t>
      </w:r>
    </w:p>
  </w:footnote>
  <w:footnote w:id="208">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Evans v. County of Alachua, 937 So. 2d 6</w:t>
      </w:r>
      <w:r>
        <w:rPr>
          <w:rFonts w:ascii="Arial" w:eastAsia="Arial" w:hAnsi="Arial" w:cs="Arial"/>
          <w:color w:val="000000"/>
          <w:sz w:val="18"/>
        </w:rPr>
        <w:t>93 (Fla. Dist. Ct. App. 1st Dist. 2006).</w:t>
      </w:r>
    </w:p>
  </w:footnote>
  <w:footnote w:id="209">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760.10(8)(b), Fla. Stat.</w:t>
      </w:r>
    </w:p>
  </w:footnote>
  <w:footnote w:id="210">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760.10(8)(b), Fla. Stat.</w:t>
      </w:r>
    </w:p>
  </w:footnote>
  <w:footnote w:id="211">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760.10(8)(b), Fla. Stat.</w:t>
      </w:r>
    </w:p>
  </w:footnote>
  <w:footnote w:id="212">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760.10(8)(c), Fla. Stat.</w:t>
      </w:r>
    </w:p>
  </w:footnote>
  <w:footnote w:id="213">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760.10(8)(d), Fla. Stat.</w:t>
      </w:r>
    </w:p>
  </w:footnote>
  <w:footnote w:id="214">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Burke-Fowler v. Orange County, Fla., 447 F.3d 1319 (11th</w:t>
      </w:r>
      <w:r>
        <w:rPr>
          <w:rFonts w:ascii="Arial" w:eastAsia="Arial" w:hAnsi="Arial" w:cs="Arial"/>
          <w:color w:val="000000"/>
          <w:sz w:val="18"/>
        </w:rPr>
        <w:t xml:space="preserve"> Cir. 2006) (applying Florida law); Donato v. American Tel. &amp; Tel. Co., 767 So. 2d 1146 (Fla. 2000).</w:t>
      </w:r>
    </w:p>
  </w:footnote>
  <w:footnote w:id="215">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Donato v. American Tel. &amp; Tel. Co., 767 So. 2d 1146 (Fla. 2000).</w:t>
      </w:r>
    </w:p>
  </w:footnote>
  <w:footnote w:id="216">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Industrial Affiliates, Ltd. v. Fish, 25 So. 3d 629 (Fla. Dist. Ct. App. 3d Dist. 2</w:t>
      </w:r>
      <w:r>
        <w:rPr>
          <w:rFonts w:ascii="Arial" w:eastAsia="Arial" w:hAnsi="Arial" w:cs="Arial"/>
          <w:color w:val="000000"/>
          <w:sz w:val="18"/>
        </w:rPr>
        <w:t>009).</w:t>
      </w:r>
    </w:p>
  </w:footnote>
  <w:footnote w:id="217">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Industrial Affiliates, Ltd. v. Fish, 25 So. 3d 629 (Fla. Dist. Ct. App. 3d Dist. 2009).</w:t>
      </w:r>
    </w:p>
  </w:footnote>
  <w:footnote w:id="218">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Donato v. American Tel. &amp; Tel. Co., 767 So. 2d 1146 (Fla. 2000).</w:t>
      </w:r>
    </w:p>
  </w:footnote>
  <w:footnote w:id="219">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City of Miami v. Hervis, 65 So. 3d 1110 (Fla. Dist. Ct. App. 3d Dist. 2011).</w:t>
      </w:r>
    </w:p>
  </w:footnote>
  <w:footnote w:id="220">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Goss</w:t>
      </w:r>
      <w:r>
        <w:rPr>
          <w:rFonts w:ascii="Arial" w:eastAsia="Arial" w:hAnsi="Arial" w:cs="Arial"/>
          <w:color w:val="000000"/>
          <w:sz w:val="18"/>
        </w:rPr>
        <w:t>ard v. JP Morgan Chase &amp; Co., 612 F. Supp. 2d 1242 (S.D. Fla. 2009), aff'd, 389 Fed. Appx. 936 (11th Cir. 2010); City of Miami v. Hervis, 65 So. 3d 1110 (Fla. Dist. Ct. App. 3d Dist. 2011) (disability discrimination); St. Louis v. Florida Intern. Universit</w:t>
      </w:r>
      <w:r>
        <w:rPr>
          <w:rFonts w:ascii="Arial" w:eastAsia="Arial" w:hAnsi="Arial" w:cs="Arial"/>
          <w:color w:val="000000"/>
          <w:sz w:val="18"/>
        </w:rPr>
        <w:t>y, 60 So. 3d 455, 267 Ed. Law Rep. 932 (Fla. Dist. Ct. App. 3d Dist. 2011); (race discrimination); Valenzuela v. GlobeGround North America, LLC, 18 So. 3d 17 (Fla. Dist. Ct. App. 3d Dist. 2009) (gender discrimination).</w:t>
      </w:r>
    </w:p>
  </w:footnote>
  <w:footnote w:id="221">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City of Miami v. Hervis, 65 So. 3</w:t>
      </w:r>
      <w:r>
        <w:rPr>
          <w:rFonts w:ascii="Arial" w:eastAsia="Arial" w:hAnsi="Arial" w:cs="Arial"/>
          <w:color w:val="000000"/>
          <w:sz w:val="18"/>
        </w:rPr>
        <w:t>d 1110 (Fla. Dist. Ct. App. 3d Dist. 2011).</w:t>
      </w:r>
    </w:p>
  </w:footnote>
  <w:footnote w:id="222">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Valenzuela v. GlobeGround North America, LLC, 18 So. 3d 17 (Fla. Dist. Ct. App. 3d Dist. 2009).</w:t>
      </w:r>
    </w:p>
  </w:footnote>
  <w:footnote w:id="223">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Valenzuela v. GlobeGround North America, LLC, 18 So. 3d 17 (Fla. Dist. Ct. App. 3d Dist. 2009).</w:t>
      </w:r>
    </w:p>
  </w:footnote>
  <w:footnote w:id="224">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Valenzue</w:t>
      </w:r>
      <w:r>
        <w:rPr>
          <w:rFonts w:ascii="Arial" w:eastAsia="Arial" w:hAnsi="Arial" w:cs="Arial"/>
          <w:color w:val="000000"/>
          <w:sz w:val="18"/>
        </w:rPr>
        <w:t>la v. GlobeGround North America, LLC, 18 So. 3d 17 (Fla. Dist. Ct. App. 3d Dist. 2009).</w:t>
      </w:r>
    </w:p>
  </w:footnote>
  <w:footnote w:id="225">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Valenzuela v. GlobeGround North America, LLC, 18 So. 3d 17 (Fla. Dist. Ct. App. 3d Dist. 2009).</w:t>
      </w:r>
    </w:p>
  </w:footnote>
  <w:footnote w:id="226">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Department of Corrections v. Chandler, 582 So. 2d 1183 (Fla. Dis</w:t>
      </w:r>
      <w:r>
        <w:rPr>
          <w:rFonts w:ascii="Arial" w:eastAsia="Arial" w:hAnsi="Arial" w:cs="Arial"/>
          <w:color w:val="000000"/>
          <w:sz w:val="18"/>
        </w:rPr>
        <w:t>t. Ct. App. 1st Dist. 1991).</w:t>
      </w:r>
    </w:p>
  </w:footnote>
  <w:footnote w:id="227">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Florida State University v. Sondel, 685 So. 2d 923, 115 Ed. Law Rep. 575 (Fla. Dist. Ct. App. 1st Dist. 1996).</w:t>
      </w:r>
    </w:p>
  </w:footnote>
  <w:footnote w:id="228">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Florida State University v. Sondel, 685 So. 2d 923, 115 Ed. Law Rep. 575 (Fla. Dist. Ct. App. 1st Dist. 199</w:t>
      </w:r>
      <w:r>
        <w:rPr>
          <w:rFonts w:ascii="Arial" w:eastAsia="Arial" w:hAnsi="Arial" w:cs="Arial"/>
          <w:color w:val="000000"/>
          <w:sz w:val="18"/>
        </w:rPr>
        <w:t>6).</w:t>
      </w:r>
    </w:p>
  </w:footnote>
  <w:footnote w:id="229">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St. Louis v. Florida Intern. University, 60 So. 3d 455, 267 Ed. Law Rep. 932 (Fla. Dist. Ct. App. 3d Dist. 2011).</w:t>
      </w:r>
    </w:p>
  </w:footnote>
  <w:footnote w:id="230">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Florida State University v. Sondel, 685 So. 2d 923, 115 Ed. Law Rep. 575 (Fla. Dist. Ct. App. 1st Dist. 1996).</w:t>
      </w:r>
    </w:p>
  </w:footnote>
  <w:footnote w:id="231">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City of Miami v. Hervis, 65 So. 3d 1110 (Fla. Dist. Ct. App. 3d Dist. 2011).</w:t>
      </w:r>
    </w:p>
  </w:footnote>
  <w:footnote w:id="232">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Valenzuela v. GlobeGround North America, LLC, 18 So. 3d 17 (Fla. Dist. Ct. App. 3d Dist. 2009).</w:t>
      </w:r>
    </w:p>
  </w:footnote>
  <w:footnote w:id="233">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Valenzuela v. GlobeGround North America, LLC, 18 So. 3d 17 (Fla. Dist. Ct. App. 3d Dist. 2009).</w:t>
      </w:r>
    </w:p>
  </w:footnote>
  <w:footnote w:id="234">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Valenzuela v. GlobeGround North America, LLC, 18 So. </w:t>
      </w:r>
      <w:r>
        <w:rPr>
          <w:rFonts w:ascii="Arial" w:eastAsia="Arial" w:hAnsi="Arial" w:cs="Arial"/>
          <w:color w:val="000000"/>
          <w:sz w:val="18"/>
        </w:rPr>
        <w:t>3d 17 (Fla. Dist. Ct. App. 3d Dist. 2009).</w:t>
      </w:r>
    </w:p>
  </w:footnote>
  <w:footnote w:id="235">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Valenzuela v. GlobeGround North America, LLC, 18 So. 3d 17 (Fla. Dist. Ct. App. 3d Dist. 2009) (gender discrimination).</w:t>
      </w:r>
    </w:p>
  </w:footnote>
  <w:footnote w:id="236">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City of Miami v. Hervis, 65 So. 3d 1110 (Fla. Dist. Ct. App. 3d Dist. 2011).</w:t>
      </w:r>
    </w:p>
  </w:footnote>
  <w:footnote w:id="237">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Va</w:t>
      </w:r>
      <w:r>
        <w:rPr>
          <w:rFonts w:ascii="Arial" w:eastAsia="Arial" w:hAnsi="Arial" w:cs="Arial"/>
          <w:color w:val="000000"/>
          <w:sz w:val="18"/>
        </w:rPr>
        <w:t>lenzuela v. GlobeGround North America, LLC, 18 So. 3d 17 (Fla. Dist. Ct. App. 3d Dist. 2009).</w:t>
      </w:r>
    </w:p>
  </w:footnote>
  <w:footnote w:id="238">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Kelly v. K.D. Const. of Florida, Inc., 866 F. Supp. 1406 (S.D. Fla. 1994); City of Miami v. Hervis, 65 So. 3d 1110 (Fla. Dist. Ct. App. 3d Dist. 2011); Blizza</w:t>
      </w:r>
      <w:r>
        <w:rPr>
          <w:rFonts w:ascii="Arial" w:eastAsia="Arial" w:hAnsi="Arial" w:cs="Arial"/>
          <w:color w:val="000000"/>
          <w:sz w:val="18"/>
        </w:rPr>
        <w:t>rd v. Appliance Direct, Inc., 16 So. 3d 922 (Fla. Dist. Ct. App. 5th Dist. 2009); City of Hollywood v. Hogan, 986 So. 2d 634 (Fla. Dist. Ct. App. 4th Dist. 2008).</w:t>
      </w:r>
    </w:p>
  </w:footnote>
  <w:footnote w:id="239">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City of Miami v. Hervis, 65 So. 3d 1110 (Fla. Dist. Ct. App. 3d Dist. 2011); Valenzuela v</w:t>
      </w:r>
      <w:r>
        <w:rPr>
          <w:rFonts w:ascii="Arial" w:eastAsia="Arial" w:hAnsi="Arial" w:cs="Arial"/>
          <w:color w:val="000000"/>
          <w:sz w:val="18"/>
        </w:rPr>
        <w:t>. GlobeGround North America, LLC, 18 So. 3d 17 (Fla. Dist. Ct. App. 3d Dist. 2009); City of Hollywood v. Hogan, 986 So. 2d 634 (Fla. Dist. Ct. App. 4th Dist. 2008).</w:t>
      </w:r>
    </w:p>
  </w:footnote>
  <w:footnote w:id="240">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City of Miami v. Hervis, 65 So. 3d 1110 (Fla. Dist. Ct. App. 3d Dist. 2011); City of Ho</w:t>
      </w:r>
      <w:r>
        <w:rPr>
          <w:rFonts w:ascii="Arial" w:eastAsia="Arial" w:hAnsi="Arial" w:cs="Arial"/>
          <w:color w:val="000000"/>
          <w:sz w:val="18"/>
        </w:rPr>
        <w:t>llywood v. Hogan, 986 So. 2d 634 (Fla. Dist. Ct. App. 4th Dist. 2008).</w:t>
      </w:r>
    </w:p>
  </w:footnote>
  <w:footnote w:id="241">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City of Hollywood v. Hogan, 986 So. 2d 634 (Fla. Dist. Ct. App. 4th Dist. 2008).</w:t>
      </w:r>
    </w:p>
  </w:footnote>
  <w:footnote w:id="242">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Valenzuela v. GlobeGround North America, LLC, 18 So. 3d 17 (Fla. Dist. Ct. App. 3d Dist. 2009).</w:t>
      </w:r>
    </w:p>
  </w:footnote>
  <w:footnote w:id="243">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Kelly v. K.D. Const. of Florida, Inc., 866 F. Supp. 1406 (S.D. Fla. 1994).</w:t>
      </w:r>
    </w:p>
  </w:footnote>
  <w:footnote w:id="244">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City of Miami v. Hervis, 65 So. 3d 1110 (Fla. Dist. Ct. App. 3d Dist. 2011).</w:t>
      </w:r>
    </w:p>
  </w:footnote>
  <w:footnote w:id="245">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Kelly v. K.D. Const. of Florida, Inc., 866 F. Supp. 1406 (S.D. Fla. 1994).</w:t>
      </w:r>
    </w:p>
  </w:footnote>
  <w:footnote w:id="246">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City of Holl</w:t>
      </w:r>
      <w:r>
        <w:rPr>
          <w:rFonts w:ascii="Arial" w:eastAsia="Arial" w:hAnsi="Arial" w:cs="Arial"/>
          <w:color w:val="000000"/>
          <w:sz w:val="18"/>
        </w:rPr>
        <w:t>ywood v. Hogan, 986 So. 2d 634 (Fla. Dist. Ct. App. 4th Dist. 2008).</w:t>
      </w:r>
    </w:p>
  </w:footnote>
  <w:footnote w:id="247">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Blizzard v. Appliance Direct, Inc., 16 So. 3d 922 (Fla. Dist. Ct. App. 5th Dist. 2009).</w:t>
      </w:r>
    </w:p>
  </w:footnote>
  <w:footnote w:id="248">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Valenzuela v. GlobeGround North America, LLC, 18 So. 3d 17 (Fla. Dist. Ct. App. 3d Dist. </w:t>
      </w:r>
      <w:r>
        <w:rPr>
          <w:rFonts w:ascii="Arial" w:eastAsia="Arial" w:hAnsi="Arial" w:cs="Arial"/>
          <w:color w:val="000000"/>
          <w:sz w:val="18"/>
        </w:rPr>
        <w:t>2009).</w:t>
      </w:r>
    </w:p>
  </w:footnote>
  <w:footnote w:id="249">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Valenzuela v. GlobeGround North America, LLC, 18 So. 3d 17 (Fla. Dist. Ct. App. 3d Dist. 2009).</w:t>
      </w:r>
    </w:p>
  </w:footnote>
  <w:footnote w:id="250">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Valenzuela v. GlobeGround North America, LLC, 18 So. 3d 17 (Fla. Dist. Ct. App. 3d Dist. 2009).</w:t>
      </w:r>
    </w:p>
  </w:footnote>
  <w:footnote w:id="251">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City of Miami v. Hervis, 65 So. 3d 1110 (F</w:t>
      </w:r>
      <w:r>
        <w:rPr>
          <w:rFonts w:ascii="Arial" w:eastAsia="Arial" w:hAnsi="Arial" w:cs="Arial"/>
          <w:color w:val="000000"/>
          <w:sz w:val="18"/>
        </w:rPr>
        <w:t>la. Dist. Ct. App. 3d Dist. 2011).</w:t>
      </w:r>
    </w:p>
  </w:footnote>
  <w:footnote w:id="252">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Labati v. University of Miami, 16 So. 3d 886, 249 Ed. Law Rep. 522 (Fla. Dist. Ct. App. 3d Dist. 2009).</w:t>
      </w:r>
    </w:p>
  </w:footnote>
  <w:footnote w:id="253">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City of Hollywood v. Hogan, 986 So. 2d 634 (Fla. Dist. Ct. App. 4th Dist. 2008).</w:t>
      </w:r>
    </w:p>
  </w:footnote>
  <w:footnote w:id="254">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Kelly v. K.D. Const. </w:t>
      </w:r>
      <w:r>
        <w:rPr>
          <w:rFonts w:ascii="Arial" w:eastAsia="Arial" w:hAnsi="Arial" w:cs="Arial"/>
          <w:color w:val="000000"/>
          <w:sz w:val="18"/>
        </w:rPr>
        <w:t>of Florida, Inc., 866 F. Supp. 1406 (S.D. Fla. 1994).</w:t>
      </w:r>
    </w:p>
  </w:footnote>
  <w:footnote w:id="255">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Brand v. Florida Power Corp., 633 So. 2d 504 (Fla. Dist. Ct. App. 1st Dist. 1994).</w:t>
      </w:r>
    </w:p>
  </w:footnote>
  <w:footnote w:id="256">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Brand v. Florida Power Corp., 633 So. 2d 504 (Fla. Dist. Ct. App. 1st Dist. 1994).</w:t>
      </w:r>
    </w:p>
  </w:footnote>
  <w:footnote w:id="257">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Kelley v. Bechtel Power Corp., 633 F. Supp. 927 (S.D. Fla. 1986).</w:t>
      </w:r>
    </w:p>
  </w:footnote>
  <w:footnote w:id="258">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448.07(2), Fla. Stat.</w:t>
      </w:r>
    </w:p>
    <w:p w:rsidR="007A6EB4" w:rsidRDefault="006F3363">
      <w:pPr>
        <w:spacing w:before="120" w:line="240" w:lineRule="atLeast"/>
        <w:jc w:val="both"/>
      </w:pPr>
      <w:r>
        <w:rPr>
          <w:rFonts w:ascii="Arial" w:eastAsia="Arial" w:hAnsi="Arial" w:cs="Arial"/>
          <w:color w:val="000000"/>
          <w:sz w:val="18"/>
        </w:rPr>
        <w:t>As to the Federal Equal Pay Act, see Am. Jur. 2d, Job Discrimination § 20.</w:t>
      </w:r>
    </w:p>
  </w:footnote>
  <w:footnote w:id="259">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448.07(1)(a), Fla. Stat.</w:t>
      </w:r>
    </w:p>
  </w:footnote>
  <w:footnote w:id="260">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448.07(1)(b), Fla. Stat.</w:t>
      </w:r>
    </w:p>
  </w:footnote>
  <w:footnote w:id="261">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448.07(3), Fla. Stat., the statute also providing the definitions of "wages" and "unpaid wages."</w:t>
      </w:r>
    </w:p>
  </w:footnote>
  <w:footnote w:id="262">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448.07(3), Fla. Stat.</w:t>
      </w:r>
    </w:p>
  </w:footnote>
  <w:footnote w:id="263">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448.07(3), Fla. Stat.</w:t>
      </w:r>
    </w:p>
  </w:footnote>
  <w:footnote w:id="264">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725.07(1), Fla. Stat.</w:t>
      </w:r>
    </w:p>
  </w:footnote>
  <w:footnote w:id="265">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1.01(3), Fla. Stat.</w:t>
      </w:r>
    </w:p>
  </w:footnote>
  <w:footnote w:id="266">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725.07(2), Fla. Stat.</w:t>
      </w:r>
    </w:p>
  </w:footnote>
  <w:footnote w:id="267">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725.07, Fla</w:t>
      </w:r>
      <w:r>
        <w:rPr>
          <w:rFonts w:ascii="Arial" w:eastAsia="Arial" w:hAnsi="Arial" w:cs="Arial"/>
          <w:color w:val="000000"/>
          <w:sz w:val="18"/>
        </w:rPr>
        <w:t>. Stat.</w:t>
      </w:r>
    </w:p>
  </w:footnote>
  <w:footnote w:id="268">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 95.11(3)(f), Fla. Stat.</w:t>
      </w:r>
    </w:p>
  </w:footnote>
  <w:footnote w:id="269">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Forehand v. International Business Machines Corp., 586 F. Supp. 9 (M.D. Fla. 1984), judgment aff'd, 783 F.2d 204 (11th Cir. 1986).</w:t>
      </w:r>
    </w:p>
  </w:footnote>
  <w:footnote w:id="270">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448.07, 725.07, Fla. Stat.</w:t>
      </w:r>
    </w:p>
  </w:footnote>
  <w:footnote w:id="271">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 448.07(4), Fla. Stat., referring to 29 </w:t>
      </w:r>
      <w:r>
        <w:rPr>
          <w:rFonts w:ascii="Arial" w:eastAsia="Arial" w:hAnsi="Arial" w:cs="Arial"/>
          <w:color w:val="000000"/>
          <w:sz w:val="18"/>
        </w:rPr>
        <w:t>U.S.C.A. §§ 201 to 219.</w:t>
      </w:r>
    </w:p>
  </w:footnote>
  <w:footnote w:id="272">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448.075, Fla. Stat.</w:t>
      </w:r>
    </w:p>
  </w:footnote>
  <w:footnote w:id="273">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448.076, Fla. Stat.</w:t>
      </w:r>
    </w:p>
  </w:footnote>
  <w:footnote w:id="27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760.50(2), Fla. Stat.</w:t>
      </w:r>
    </w:p>
  </w:footnote>
  <w:footnote w:id="275">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760.50(3)(a), Fla. Stat.</w:t>
      </w:r>
    </w:p>
    <w:p w:rsidR="007A6EB4" w:rsidRDefault="006F3363">
      <w:pPr>
        <w:spacing w:before="120" w:line="240" w:lineRule="atLeast"/>
        <w:jc w:val="both"/>
      </w:pPr>
      <w:r>
        <w:rPr>
          <w:rFonts w:ascii="Arial" w:eastAsia="Arial" w:hAnsi="Arial" w:cs="Arial"/>
          <w:color w:val="000000"/>
          <w:sz w:val="18"/>
        </w:rPr>
        <w:t>As to the definition of "person" under the Florida Civil Rights Act, see § 15.</w:t>
      </w:r>
    </w:p>
  </w:footnote>
  <w:footnote w:id="276">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760.50(3)(b), Fla. Stat.</w:t>
      </w:r>
    </w:p>
  </w:footnote>
  <w:footnote w:id="277">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760.5</w:t>
      </w:r>
      <w:r>
        <w:rPr>
          <w:rFonts w:ascii="Arial" w:eastAsia="Arial" w:hAnsi="Arial" w:cs="Arial"/>
          <w:color w:val="000000"/>
          <w:sz w:val="18"/>
        </w:rPr>
        <w:t>0(4)(d), Fla. Stat.</w:t>
      </w:r>
    </w:p>
  </w:footnote>
  <w:footnote w:id="278">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Byrd v. BT Foods, Inc., 948 So. 2d 921 (Fla. Dist. Ct. App. 4th Dist. 2007).</w:t>
      </w:r>
    </w:p>
  </w:footnote>
  <w:footnote w:id="279">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760.50(6)(a), Fla. Stat.</w:t>
      </w:r>
    </w:p>
  </w:footnote>
  <w:footnote w:id="280">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760.50(6)(b), Fla. Stat.</w:t>
      </w:r>
    </w:p>
  </w:footnote>
  <w:footnote w:id="281">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Byrd v. BT Foods, Inc., 948 So. 2d 921 (Fla. Dist. Ct. App. 4th Dist. 2007).</w:t>
      </w:r>
    </w:p>
  </w:footnote>
  <w:footnote w:id="282">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Albra v. Advan, Inc., 490 F.3d 826, 68 Fed. R. Serv. 3d 241 (11th Cir. 2007).</w:t>
      </w:r>
    </w:p>
  </w:footnote>
  <w:footnote w:id="283">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Albra v. Advan, Inc., 490 F.3d 826, 68 Fed. R. Serv. 3d 241 (11th Cir. 2007).</w:t>
      </w:r>
    </w:p>
  </w:footnote>
  <w:footnote w:id="28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110.105</w:t>
      </w:r>
      <w:r>
        <w:rPr>
          <w:rFonts w:ascii="Arial" w:eastAsia="Arial" w:hAnsi="Arial" w:cs="Arial"/>
          <w:color w:val="000000"/>
          <w:sz w:val="18"/>
        </w:rPr>
        <w:t>(2), Fla. Stat.</w:t>
      </w:r>
    </w:p>
  </w:footnote>
  <w:footnote w:id="285">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112.042(1), Fla. Stat.</w:t>
      </w:r>
    </w:p>
  </w:footnote>
  <w:footnote w:id="286">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110.112(1), Fla. Stat.</w:t>
      </w:r>
    </w:p>
  </w:footnote>
  <w:footnote w:id="287">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110.112(5), Fla. Stat., referring to the remedy set forth by § 760.11, Fla. Stat., discussed at §§ 6 to 10.</w:t>
      </w:r>
    </w:p>
  </w:footnote>
  <w:footnote w:id="288">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112.042(2), Fla. Stat.</w:t>
      </w:r>
    </w:p>
  </w:footnote>
  <w:footnote w:id="289">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Housing Authority of City of Sanford v. Billingslea, 464 So. 2d 1221 (Fla. Dist. Ct. App. 5th Dist. 1985), refer</w:t>
      </w:r>
      <w:r>
        <w:rPr>
          <w:rFonts w:ascii="Arial" w:eastAsia="Arial" w:hAnsi="Arial" w:cs="Arial"/>
          <w:color w:val="000000"/>
          <w:sz w:val="18"/>
        </w:rPr>
        <w:t>ring to § 760.06(5), Fla. Stat.</w:t>
      </w:r>
    </w:p>
  </w:footnote>
  <w:footnote w:id="290">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760.02(6), (7), Fla. Stat., set forth at § 15.</w:t>
      </w:r>
    </w:p>
  </w:footnote>
  <w:footnote w:id="291">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112.043, Fla. Stat.</w:t>
      </w:r>
    </w:p>
  </w:footnote>
  <w:footnote w:id="292">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112.044(2)(a), (3)(a), Fla. Stat.</w:t>
      </w:r>
    </w:p>
  </w:footnote>
  <w:footnote w:id="293">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112.044(3)(c), Fla. Stat.</w:t>
      </w:r>
    </w:p>
  </w:footnote>
  <w:footnote w:id="294">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City of Hollywood v. Hogan, 986 So. 2d 634 (Fla. Dist. Ct. App. 4th D</w:t>
      </w:r>
      <w:r>
        <w:rPr>
          <w:rFonts w:ascii="Arial" w:eastAsia="Arial" w:hAnsi="Arial" w:cs="Arial"/>
          <w:color w:val="000000"/>
          <w:sz w:val="18"/>
        </w:rPr>
        <w:t>ist. 2008).</w:t>
      </w:r>
    </w:p>
  </w:footnote>
  <w:footnote w:id="295">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City of Hollywood v. Hogan, 986 So. 2d 634 (Fla. Dist. Ct. App. 4th Dist. 2008).</w:t>
      </w:r>
    </w:p>
  </w:footnote>
  <w:footnote w:id="296">
    <w:p w:rsidR="007A6EB4" w:rsidRDefault="006F3363">
      <w:pPr>
        <w:spacing w:before="20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City of Hollywood v. Hogan, 986 So. 2d 634 (Fla. Dist. Ct. App. 4th Dist. 2008) (applying </w:t>
      </w:r>
      <w:r>
        <w:rPr>
          <w:rFonts w:ascii="Arial" w:eastAsia="Arial" w:hAnsi="Arial" w:cs="Arial"/>
          <w:i/>
          <w:color w:val="000000"/>
          <w:sz w:val="18"/>
        </w:rPr>
        <w:t>McDonnell Douglas</w:t>
      </w:r>
      <w:r>
        <w:rPr>
          <w:rFonts w:ascii="Arial" w:eastAsia="Arial" w:hAnsi="Arial" w:cs="Arial"/>
          <w:color w:val="000000"/>
          <w:sz w:val="18"/>
        </w:rPr>
        <w:t xml:space="preserve"> framework).</w:t>
      </w:r>
    </w:p>
  </w:footnote>
  <w:footnote w:id="297">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Miami-Dade County v. Eghbal, 54</w:t>
      </w:r>
      <w:r>
        <w:rPr>
          <w:rFonts w:ascii="Arial" w:eastAsia="Arial" w:hAnsi="Arial" w:cs="Arial"/>
          <w:color w:val="000000"/>
          <w:sz w:val="18"/>
        </w:rPr>
        <w:t xml:space="preserve"> So. 3d 525 (Fla. Dist. Ct. App. 3d Dist. 2011), review denied, 71 So. 3d 117 (Fla. 2011).</w:t>
      </w:r>
    </w:p>
  </w:footnote>
  <w:footnote w:id="298">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112.044(3)(b), Fla. Stat.</w:t>
      </w:r>
    </w:p>
  </w:footnote>
  <w:footnote w:id="299">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112.044(2)(b), Fla. Stat.</w:t>
      </w:r>
    </w:p>
  </w:footnote>
  <w:footnote w:id="300">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112.044(3)(f), Fla. Stat.</w:t>
      </w:r>
    </w:p>
  </w:footnote>
  <w:footnote w:id="301">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 112.044(4), Fla. Stat.</w:t>
      </w:r>
    </w:p>
    <w:p w:rsidR="007A6EB4" w:rsidRDefault="006F3363">
      <w:pPr>
        <w:spacing w:before="120" w:line="240" w:lineRule="atLeast"/>
        <w:jc w:val="both"/>
      </w:pPr>
      <w:r>
        <w:rPr>
          <w:rFonts w:ascii="Arial" w:eastAsia="Arial" w:hAnsi="Arial" w:cs="Arial"/>
          <w:color w:val="000000"/>
          <w:sz w:val="18"/>
        </w:rPr>
        <w:t xml:space="preserve">As to appeals to the Public </w:t>
      </w:r>
      <w:r>
        <w:rPr>
          <w:rFonts w:ascii="Arial" w:eastAsia="Arial" w:hAnsi="Arial" w:cs="Arial"/>
          <w:color w:val="000000"/>
          <w:sz w:val="18"/>
        </w:rPr>
        <w:t>Employees Relations Commission, generally, see Fla. Jur. 2d, Labor and Labor Relations §§ 1 et seq.</w:t>
      </w:r>
    </w:p>
  </w:footnote>
  <w:footnote w:id="302">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413.08(5), Fla. Stat.</w:t>
      </w:r>
    </w:p>
  </w:footnote>
  <w:footnote w:id="303">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Zorick v. Tynes, 372 So. 2d 133 (Fla. Dist. Ct. App. 1st Dist. 1979).</w:t>
      </w:r>
    </w:p>
  </w:footnote>
  <w:footnote w:id="304">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413.08(7), Fla. Stat.</w:t>
      </w:r>
    </w:p>
  </w:footnote>
  <w:footnote w:id="305">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447.305(1)(f), Fla. </w:t>
      </w:r>
      <w:r>
        <w:rPr>
          <w:rFonts w:ascii="Arial" w:eastAsia="Arial" w:hAnsi="Arial" w:cs="Arial"/>
          <w:color w:val="000000"/>
          <w:sz w:val="18"/>
        </w:rPr>
        <w:t>Stat.</w:t>
      </w:r>
    </w:p>
  </w:footnote>
  <w:footnote w:id="306">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760.20 to 760.37, Fla. Stat.</w:t>
      </w:r>
    </w:p>
  </w:footnote>
  <w:footnote w:id="307">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760.20, Fla. Stat.</w:t>
      </w:r>
    </w:p>
  </w:footnote>
  <w:footnote w:id="308">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760.23, Fla. Stat.</w:t>
      </w:r>
    </w:p>
  </w:footnote>
  <w:footnote w:id="309">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760.24, Fla. Stat.</w:t>
      </w:r>
    </w:p>
  </w:footnote>
  <w:footnote w:id="310">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760.25, Fla. Stat.</w:t>
      </w:r>
    </w:p>
  </w:footnote>
  <w:footnote w:id="311">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Metropolitan Dade County Fair Housing and Employment Appeals Bd. v. Sunrise Village Mobile Home Park, Inc., 51</w:t>
      </w:r>
      <w:r>
        <w:rPr>
          <w:rFonts w:ascii="Arial" w:eastAsia="Arial" w:hAnsi="Arial" w:cs="Arial"/>
          <w:color w:val="000000"/>
          <w:sz w:val="18"/>
        </w:rPr>
        <w:t>1 So. 2d 962 (Fla. 1987).</w:t>
      </w:r>
    </w:p>
  </w:footnote>
  <w:footnote w:id="312">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 760.29(2), Fla. Stat.</w:t>
      </w:r>
    </w:p>
  </w:footnote>
  <w:footnote w:id="313">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760.29(2), Fla. Stat.</w:t>
      </w:r>
    </w:p>
  </w:footnote>
  <w:footnote w:id="314">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760.29(5)(a), Fla. Stat.</w:t>
      </w:r>
    </w:p>
  </w:footnote>
  <w:footnote w:id="315">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760.29(5)(d), Fla. Stat.</w:t>
      </w:r>
    </w:p>
  </w:footnote>
  <w:footnote w:id="316">
    <w:p w:rsidR="007A6EB4" w:rsidRDefault="006F3363">
      <w:pPr>
        <w:spacing w:before="120" w:line="240" w:lineRule="atLeast"/>
        <w:jc w:val="both"/>
      </w:pPr>
      <w:r>
        <w:rPr>
          <w:rFonts w:ascii="Arial" w:eastAsia="Arial" w:hAnsi="Arial" w:cs="Arial"/>
          <w:color w:val="000000"/>
          <w:sz w:val="18"/>
          <w:vertAlign w:val="superscript"/>
        </w:rPr>
        <w:t>n11 </w:t>
      </w:r>
      <w:r>
        <w:rPr>
          <w:rFonts w:ascii="Arial" w:eastAsia="Arial" w:hAnsi="Arial" w:cs="Arial"/>
          <w:color w:val="000000"/>
          <w:sz w:val="18"/>
        </w:rPr>
        <w:t xml:space="preserve"> Savanna Club Worship Service, Inc. v. Savanna Club Homeowners' Ass'n, Inc., 456 F. Supp. 2d 1223 (S.D. Fla. 2005).</w:t>
      </w:r>
    </w:p>
  </w:footnote>
  <w:footnote w:id="317">
    <w:p w:rsidR="007A6EB4" w:rsidRDefault="006F3363">
      <w:pPr>
        <w:spacing w:before="120" w:line="240" w:lineRule="atLeast"/>
        <w:jc w:val="both"/>
      </w:pPr>
      <w:r>
        <w:rPr>
          <w:rFonts w:ascii="Arial" w:eastAsia="Arial" w:hAnsi="Arial" w:cs="Arial"/>
          <w:color w:val="000000"/>
          <w:sz w:val="18"/>
          <w:vertAlign w:val="superscript"/>
        </w:rPr>
        <w:t>n12 </w:t>
      </w:r>
      <w:r>
        <w:rPr>
          <w:rFonts w:ascii="Arial" w:eastAsia="Arial" w:hAnsi="Arial" w:cs="Arial"/>
          <w:color w:val="000000"/>
          <w:sz w:val="18"/>
        </w:rPr>
        <w:t xml:space="preserve"> § 760.29(4), Fla. Stat., further defining the term "housing for older persons."</w:t>
      </w:r>
    </w:p>
    <w:p w:rsidR="007A6EB4" w:rsidRDefault="006F3363">
      <w:pPr>
        <w:spacing w:before="120" w:line="240" w:lineRule="atLeast"/>
        <w:jc w:val="both"/>
      </w:pPr>
      <w:r>
        <w:rPr>
          <w:rFonts w:ascii="Arial" w:eastAsia="Arial" w:hAnsi="Arial" w:cs="Arial"/>
          <w:color w:val="000000"/>
          <w:sz w:val="18"/>
        </w:rPr>
        <w:t xml:space="preserve">As to opt-out provisions for retrofitting requirements </w:t>
      </w:r>
      <w:r>
        <w:rPr>
          <w:rFonts w:ascii="Arial" w:eastAsia="Arial" w:hAnsi="Arial" w:cs="Arial"/>
          <w:color w:val="000000"/>
          <w:sz w:val="18"/>
        </w:rPr>
        <w:t>for handrails and guardrails in housing for older persons, see §§ 718.1085, 719.1055(5), Fla. Stat.</w:t>
      </w:r>
    </w:p>
  </w:footnote>
  <w:footnote w:id="318">
    <w:p w:rsidR="007A6EB4" w:rsidRDefault="006F3363">
      <w:pPr>
        <w:spacing w:before="120" w:line="240" w:lineRule="atLeast"/>
        <w:jc w:val="both"/>
      </w:pPr>
      <w:r>
        <w:rPr>
          <w:rFonts w:ascii="Arial" w:eastAsia="Arial" w:hAnsi="Arial" w:cs="Arial"/>
          <w:color w:val="000000"/>
          <w:sz w:val="18"/>
          <w:vertAlign w:val="superscript"/>
        </w:rPr>
        <w:t>n13 </w:t>
      </w:r>
      <w:r>
        <w:rPr>
          <w:rFonts w:ascii="Arial" w:eastAsia="Arial" w:hAnsi="Arial" w:cs="Arial"/>
          <w:color w:val="000000"/>
          <w:sz w:val="18"/>
        </w:rPr>
        <w:t xml:space="preserve"> § 760.29(5)(c), Fla. Stat.</w:t>
      </w:r>
    </w:p>
  </w:footnote>
  <w:footnote w:id="319">
    <w:p w:rsidR="007A6EB4" w:rsidRDefault="006F3363">
      <w:pPr>
        <w:spacing w:before="120" w:line="240" w:lineRule="atLeast"/>
        <w:jc w:val="both"/>
      </w:pPr>
      <w:r>
        <w:rPr>
          <w:rFonts w:ascii="Arial" w:eastAsia="Arial" w:hAnsi="Arial" w:cs="Arial"/>
          <w:color w:val="000000"/>
          <w:sz w:val="18"/>
          <w:vertAlign w:val="superscript"/>
        </w:rPr>
        <w:t>n14 </w:t>
      </w:r>
      <w:r>
        <w:rPr>
          <w:rFonts w:ascii="Arial" w:eastAsia="Arial" w:hAnsi="Arial" w:cs="Arial"/>
          <w:color w:val="000000"/>
          <w:sz w:val="18"/>
        </w:rPr>
        <w:t xml:space="preserve"> § 760.23, Fla. Stat.</w:t>
      </w:r>
    </w:p>
  </w:footnote>
  <w:footnote w:id="320">
    <w:p w:rsidR="007A6EB4" w:rsidRDefault="006F3363">
      <w:pPr>
        <w:spacing w:before="120" w:line="240" w:lineRule="atLeast"/>
        <w:jc w:val="both"/>
      </w:pPr>
      <w:r>
        <w:rPr>
          <w:rFonts w:ascii="Arial" w:eastAsia="Arial" w:hAnsi="Arial" w:cs="Arial"/>
          <w:color w:val="000000"/>
          <w:sz w:val="18"/>
          <w:vertAlign w:val="superscript"/>
        </w:rPr>
        <w:t>n15 </w:t>
      </w:r>
      <w:r>
        <w:rPr>
          <w:rFonts w:ascii="Arial" w:eastAsia="Arial" w:hAnsi="Arial" w:cs="Arial"/>
          <w:color w:val="000000"/>
          <w:sz w:val="18"/>
        </w:rPr>
        <w:t xml:space="preserve"> § 760.25, Fla. Stat.</w:t>
      </w:r>
    </w:p>
  </w:footnote>
  <w:footnote w:id="321">
    <w:p w:rsidR="007A6EB4" w:rsidRDefault="006F3363">
      <w:pPr>
        <w:spacing w:before="120" w:line="240" w:lineRule="atLeast"/>
        <w:jc w:val="both"/>
      </w:pPr>
      <w:r>
        <w:rPr>
          <w:rFonts w:ascii="Arial" w:eastAsia="Arial" w:hAnsi="Arial" w:cs="Arial"/>
          <w:color w:val="000000"/>
          <w:sz w:val="18"/>
          <w:vertAlign w:val="superscript"/>
        </w:rPr>
        <w:t>n16 </w:t>
      </w:r>
      <w:r>
        <w:rPr>
          <w:rFonts w:ascii="Arial" w:eastAsia="Arial" w:hAnsi="Arial" w:cs="Arial"/>
          <w:color w:val="000000"/>
          <w:sz w:val="18"/>
        </w:rPr>
        <w:t xml:space="preserve"> § 760.29(1)(a)1, Fla. Stat.</w:t>
      </w:r>
    </w:p>
  </w:footnote>
  <w:footnote w:id="322">
    <w:p w:rsidR="007A6EB4" w:rsidRDefault="006F3363">
      <w:pPr>
        <w:spacing w:before="120" w:line="240" w:lineRule="atLeast"/>
        <w:jc w:val="both"/>
      </w:pPr>
      <w:r>
        <w:rPr>
          <w:rFonts w:ascii="Arial" w:eastAsia="Arial" w:hAnsi="Arial" w:cs="Arial"/>
          <w:color w:val="000000"/>
          <w:sz w:val="18"/>
          <w:vertAlign w:val="superscript"/>
        </w:rPr>
        <w:t>n17 </w:t>
      </w:r>
      <w:r>
        <w:rPr>
          <w:rFonts w:ascii="Arial" w:eastAsia="Arial" w:hAnsi="Arial" w:cs="Arial"/>
          <w:color w:val="000000"/>
          <w:sz w:val="18"/>
        </w:rPr>
        <w:t xml:space="preserve"> § 760.29(1)(a)2, Fla. Stat.</w:t>
      </w:r>
    </w:p>
  </w:footnote>
  <w:footnote w:id="323">
    <w:p w:rsidR="007A6EB4" w:rsidRDefault="006F3363">
      <w:pPr>
        <w:spacing w:before="120" w:line="240" w:lineRule="atLeast"/>
        <w:jc w:val="both"/>
      </w:pPr>
      <w:r>
        <w:rPr>
          <w:rFonts w:ascii="Arial" w:eastAsia="Arial" w:hAnsi="Arial" w:cs="Arial"/>
          <w:color w:val="000000"/>
          <w:sz w:val="18"/>
          <w:vertAlign w:val="superscript"/>
        </w:rPr>
        <w:t>n18 </w:t>
      </w:r>
      <w:r>
        <w:rPr>
          <w:rFonts w:ascii="Arial" w:eastAsia="Arial" w:hAnsi="Arial" w:cs="Arial"/>
          <w:color w:val="000000"/>
          <w:sz w:val="18"/>
        </w:rPr>
        <w:t xml:space="preserve"> §</w:t>
      </w:r>
      <w:r>
        <w:rPr>
          <w:rFonts w:ascii="Arial" w:eastAsia="Arial" w:hAnsi="Arial" w:cs="Arial"/>
          <w:color w:val="000000"/>
          <w:sz w:val="18"/>
        </w:rPr>
        <w:t xml:space="preserve"> 760.29(5)(b), Fla. Stat.</w:t>
      </w:r>
    </w:p>
  </w:footnote>
  <w:footnote w:id="324">
    <w:p w:rsidR="007A6EB4" w:rsidRDefault="006F3363">
      <w:pPr>
        <w:spacing w:before="120" w:line="240" w:lineRule="atLeast"/>
        <w:jc w:val="both"/>
      </w:pPr>
      <w:r>
        <w:rPr>
          <w:rFonts w:ascii="Arial" w:eastAsia="Arial" w:hAnsi="Arial" w:cs="Arial"/>
          <w:color w:val="000000"/>
          <w:sz w:val="18"/>
          <w:vertAlign w:val="superscript"/>
        </w:rPr>
        <w:t>n19 </w:t>
      </w:r>
      <w:r>
        <w:rPr>
          <w:rFonts w:ascii="Arial" w:eastAsia="Arial" w:hAnsi="Arial" w:cs="Arial"/>
          <w:color w:val="000000"/>
          <w:sz w:val="18"/>
        </w:rPr>
        <w:t xml:space="preserve"> City of Edmonds v. Oxford House, Inc., 514 U.S. 725, 115 S. Ct. 1776, 131 L. Ed. 2d 801, 9 A.D.D. 402 (1995).</w:t>
      </w:r>
    </w:p>
    <w:p w:rsidR="007A6EB4" w:rsidRDefault="006F3363">
      <w:pPr>
        <w:spacing w:before="120" w:line="240" w:lineRule="atLeast"/>
        <w:jc w:val="both"/>
      </w:pPr>
      <w:r>
        <w:rPr>
          <w:rFonts w:ascii="Arial" w:eastAsia="Arial" w:hAnsi="Arial" w:cs="Arial"/>
          <w:color w:val="000000"/>
          <w:sz w:val="18"/>
        </w:rPr>
        <w:t>As to the Federal Fair Housing Law, see 42 U.S.C.A. §§ 3601 to 3631.</w:t>
      </w:r>
    </w:p>
  </w:footnote>
  <w:footnote w:id="325">
    <w:p w:rsidR="007A6EB4" w:rsidRDefault="006F3363">
      <w:pPr>
        <w:spacing w:before="120" w:line="240" w:lineRule="atLeast"/>
        <w:jc w:val="both"/>
      </w:pPr>
      <w:r>
        <w:rPr>
          <w:rFonts w:ascii="Arial" w:eastAsia="Arial" w:hAnsi="Arial" w:cs="Arial"/>
          <w:color w:val="000000"/>
          <w:sz w:val="18"/>
          <w:vertAlign w:val="superscript"/>
        </w:rPr>
        <w:t>n20 </w:t>
      </w:r>
      <w:r>
        <w:rPr>
          <w:rFonts w:ascii="Arial" w:eastAsia="Arial" w:hAnsi="Arial" w:cs="Arial"/>
          <w:color w:val="000000"/>
          <w:sz w:val="18"/>
        </w:rPr>
        <w:t xml:space="preserve"> § 760.31(4), Fla. Stat.</w:t>
      </w:r>
    </w:p>
  </w:footnote>
  <w:footnote w:id="326">
    <w:p w:rsidR="007A6EB4" w:rsidRDefault="006F3363">
      <w:pPr>
        <w:spacing w:before="120" w:line="240" w:lineRule="atLeast"/>
        <w:jc w:val="both"/>
      </w:pPr>
      <w:r>
        <w:rPr>
          <w:rFonts w:ascii="Arial" w:eastAsia="Arial" w:hAnsi="Arial" w:cs="Arial"/>
          <w:color w:val="000000"/>
          <w:sz w:val="18"/>
          <w:vertAlign w:val="superscript"/>
        </w:rPr>
        <w:t>n21 </w:t>
      </w:r>
      <w:r>
        <w:rPr>
          <w:rFonts w:ascii="Arial" w:eastAsia="Arial" w:hAnsi="Arial" w:cs="Arial"/>
          <w:color w:val="000000"/>
          <w:sz w:val="18"/>
        </w:rPr>
        <w:t xml:space="preserve"> § 760.32(1), Fla. Stat., granting the Commission investigatory powers and the power to issue subpoenas, interrogatories, and administer oaths.</w:t>
      </w:r>
    </w:p>
    <w:p w:rsidR="007A6EB4" w:rsidRDefault="006F3363">
      <w:pPr>
        <w:spacing w:before="120" w:line="240" w:lineRule="atLeast"/>
        <w:jc w:val="both"/>
      </w:pPr>
      <w:r>
        <w:rPr>
          <w:rFonts w:ascii="Arial" w:eastAsia="Arial" w:hAnsi="Arial" w:cs="Arial"/>
          <w:color w:val="000000"/>
          <w:sz w:val="18"/>
        </w:rPr>
        <w:t>Fla. Admin. Code R. 60Y-7.001 et seq. sets forth procedures for investigation of complaints of discriminatory ho</w:t>
      </w:r>
      <w:r>
        <w:rPr>
          <w:rFonts w:ascii="Arial" w:eastAsia="Arial" w:hAnsi="Arial" w:cs="Arial"/>
          <w:color w:val="000000"/>
          <w:sz w:val="18"/>
        </w:rPr>
        <w:t>using practices.</w:t>
      </w:r>
    </w:p>
  </w:footnote>
  <w:footnote w:id="327">
    <w:p w:rsidR="007A6EB4" w:rsidRDefault="006F3363">
      <w:pPr>
        <w:spacing w:before="120" w:line="240" w:lineRule="atLeast"/>
        <w:jc w:val="both"/>
      </w:pPr>
      <w:r>
        <w:rPr>
          <w:rFonts w:ascii="Arial" w:eastAsia="Arial" w:hAnsi="Arial" w:cs="Arial"/>
          <w:color w:val="000000"/>
          <w:sz w:val="18"/>
          <w:vertAlign w:val="superscript"/>
        </w:rPr>
        <w:t>n22 </w:t>
      </w:r>
      <w:r>
        <w:rPr>
          <w:rFonts w:ascii="Arial" w:eastAsia="Arial" w:hAnsi="Arial" w:cs="Arial"/>
          <w:color w:val="000000"/>
          <w:sz w:val="18"/>
        </w:rPr>
        <w:t xml:space="preserve"> Belletete v. Halford, 886 So. 2d 308 (Fla. Dist. Ct. App. 4th Dist. 2004).</w:t>
      </w:r>
    </w:p>
  </w:footnote>
  <w:footnote w:id="328">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760.34, Fla. Stat.</w:t>
      </w:r>
    </w:p>
  </w:footnote>
  <w:footnote w:id="329">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760.35, Fla. Stat.</w:t>
      </w:r>
    </w:p>
  </w:footnote>
  <w:footnote w:id="330">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760.34(2), Fla. Stat.</w:t>
      </w:r>
    </w:p>
  </w:footnote>
  <w:footnote w:id="331">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760.34(1), Fla. Stat.</w:t>
      </w:r>
    </w:p>
  </w:footnote>
  <w:footnote w:id="332">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Savanna Club Worship Service, Inc. v. Savanna Clu</w:t>
      </w:r>
      <w:r>
        <w:rPr>
          <w:rFonts w:ascii="Arial" w:eastAsia="Arial" w:hAnsi="Arial" w:cs="Arial"/>
          <w:color w:val="000000"/>
          <w:sz w:val="18"/>
        </w:rPr>
        <w:t>b Homeowners' Ass'n, Inc., 456 F. Supp. 2d 1223 (S.D. Fla. 2005).</w:t>
      </w:r>
    </w:p>
  </w:footnote>
  <w:footnote w:id="333">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760.35(3)(a), Fla. Stat.</w:t>
      </w:r>
    </w:p>
  </w:footnote>
  <w:footnote w:id="334">
    <w:p w:rsidR="007A6EB4" w:rsidRDefault="006F3363">
      <w:pPr>
        <w:spacing w:before="120" w:line="240" w:lineRule="atLeast"/>
        <w:jc w:val="both"/>
      </w:pPr>
      <w:r>
        <w:rPr>
          <w:rFonts w:ascii="Arial" w:eastAsia="Arial" w:hAnsi="Arial" w:cs="Arial"/>
          <w:color w:val="000000"/>
          <w:sz w:val="18"/>
          <w:vertAlign w:val="superscript"/>
        </w:rPr>
        <w:t>n7 </w:t>
      </w:r>
      <w:r>
        <w:rPr>
          <w:rFonts w:ascii="Arial" w:eastAsia="Arial" w:hAnsi="Arial" w:cs="Arial"/>
          <w:color w:val="000000"/>
          <w:sz w:val="18"/>
        </w:rPr>
        <w:t xml:space="preserve"> Belletete v. Halford, 886 So. 2d 308 (Fla. Dist. Ct. App. 4th Dist. 2004).</w:t>
      </w:r>
    </w:p>
  </w:footnote>
  <w:footnote w:id="335">
    <w:p w:rsidR="007A6EB4" w:rsidRDefault="006F3363">
      <w:pPr>
        <w:spacing w:before="120" w:line="240" w:lineRule="atLeast"/>
        <w:jc w:val="both"/>
      </w:pPr>
      <w:r>
        <w:rPr>
          <w:rFonts w:ascii="Arial" w:eastAsia="Arial" w:hAnsi="Arial" w:cs="Arial"/>
          <w:color w:val="000000"/>
          <w:sz w:val="18"/>
          <w:vertAlign w:val="superscript"/>
        </w:rPr>
        <w:t>n8 </w:t>
      </w:r>
      <w:r>
        <w:rPr>
          <w:rFonts w:ascii="Arial" w:eastAsia="Arial" w:hAnsi="Arial" w:cs="Arial"/>
          <w:color w:val="000000"/>
          <w:sz w:val="18"/>
        </w:rPr>
        <w:t xml:space="preserve"> § 760.35(1), Fla. Stat.</w:t>
      </w:r>
    </w:p>
  </w:footnote>
  <w:footnote w:id="336">
    <w:p w:rsidR="007A6EB4" w:rsidRDefault="006F3363">
      <w:pPr>
        <w:spacing w:before="120" w:line="240" w:lineRule="atLeast"/>
        <w:jc w:val="both"/>
      </w:pPr>
      <w:r>
        <w:rPr>
          <w:rFonts w:ascii="Arial" w:eastAsia="Arial" w:hAnsi="Arial" w:cs="Arial"/>
          <w:color w:val="000000"/>
          <w:sz w:val="18"/>
          <w:vertAlign w:val="superscript"/>
        </w:rPr>
        <w:t>n9 </w:t>
      </w:r>
      <w:r>
        <w:rPr>
          <w:rFonts w:ascii="Arial" w:eastAsia="Arial" w:hAnsi="Arial" w:cs="Arial"/>
          <w:color w:val="000000"/>
          <w:sz w:val="18"/>
        </w:rPr>
        <w:t xml:space="preserve"> § 760.35(2), Fla. Stat.</w:t>
      </w:r>
    </w:p>
  </w:footnote>
  <w:footnote w:id="337">
    <w:p w:rsidR="007A6EB4" w:rsidRDefault="006F3363">
      <w:pPr>
        <w:spacing w:before="120" w:line="240" w:lineRule="atLeast"/>
        <w:jc w:val="both"/>
      </w:pPr>
      <w:r>
        <w:rPr>
          <w:rFonts w:ascii="Arial" w:eastAsia="Arial" w:hAnsi="Arial" w:cs="Arial"/>
          <w:color w:val="000000"/>
          <w:sz w:val="18"/>
          <w:vertAlign w:val="superscript"/>
        </w:rPr>
        <w:t>n10 </w:t>
      </w:r>
      <w:r>
        <w:rPr>
          <w:rFonts w:ascii="Arial" w:eastAsia="Arial" w:hAnsi="Arial" w:cs="Arial"/>
          <w:color w:val="000000"/>
          <w:sz w:val="18"/>
        </w:rPr>
        <w:t xml:space="preserve"> § 760.37, Fla. Stat.</w:t>
      </w:r>
    </w:p>
  </w:footnote>
  <w:footnote w:id="338">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413.08(6), Fla. Stat.</w:t>
      </w:r>
    </w:p>
  </w:footnote>
  <w:footnote w:id="339">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413.08(6)(b), Fla. Stat.</w:t>
      </w:r>
    </w:p>
  </w:footnote>
  <w:footnote w:id="340">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413.08(1)(a), Fla. Stat.</w:t>
      </w:r>
    </w:p>
  </w:footnote>
  <w:footnote w:id="341">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413.08(6)(a), Fla. Stat.</w:t>
      </w:r>
    </w:p>
  </w:footnote>
  <w:footnote w:id="342">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413.08(7), Fla. Stat.</w:t>
      </w:r>
    </w:p>
  </w:footnote>
  <w:footnote w:id="343">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760.50(2), Fla. Stat.</w:t>
      </w:r>
    </w:p>
  </w:footnote>
  <w:footnote w:id="344">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760.50(4)(a), Fla. Stat.</w:t>
      </w:r>
    </w:p>
  </w:footnote>
  <w:footnote w:id="345">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760.50(4)(b), Fla. S</w:t>
      </w:r>
      <w:r>
        <w:rPr>
          <w:rFonts w:ascii="Arial" w:eastAsia="Arial" w:hAnsi="Arial" w:cs="Arial"/>
          <w:color w:val="000000"/>
          <w:sz w:val="18"/>
        </w:rPr>
        <w:t>tat.</w:t>
      </w:r>
    </w:p>
  </w:footnote>
  <w:footnote w:id="346">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760.50(4)(c), Fla. Stat.</w:t>
      </w:r>
    </w:p>
  </w:footnote>
  <w:footnote w:id="347">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Belletete v. Halford, 886 So. 2d 308 (Fla. Dist. Ct. App. 4th Dist. 2004).</w:t>
      </w:r>
    </w:p>
  </w:footnote>
  <w:footnote w:id="348">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627.644, Fla. Stat.</w:t>
      </w:r>
    </w:p>
  </w:footnote>
  <w:footnote w:id="349">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760.50(2), Fla. Stat.</w:t>
      </w:r>
    </w:p>
  </w:footnote>
  <w:footnote w:id="350">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760.50(5), Fla. Stat.</w:t>
      </w:r>
    </w:p>
  </w:footnote>
  <w:footnote w:id="351">
    <w:p w:rsidR="007A6EB4" w:rsidRDefault="006F3363">
      <w:pPr>
        <w:spacing w:before="120" w:line="240" w:lineRule="atLeast"/>
        <w:jc w:val="both"/>
      </w:pPr>
      <w:r>
        <w:rPr>
          <w:rFonts w:ascii="Arial" w:eastAsia="Arial" w:hAnsi="Arial" w:cs="Arial"/>
          <w:color w:val="000000"/>
          <w:sz w:val="18"/>
          <w:vertAlign w:val="superscript"/>
        </w:rPr>
        <w:t>n4 </w:t>
      </w:r>
      <w:r>
        <w:rPr>
          <w:rFonts w:ascii="Arial" w:eastAsia="Arial" w:hAnsi="Arial" w:cs="Arial"/>
          <w:color w:val="000000"/>
          <w:sz w:val="18"/>
        </w:rPr>
        <w:t xml:space="preserve"> § 626.9707(1), Fla. Stat.</w:t>
      </w:r>
    </w:p>
  </w:footnote>
  <w:footnote w:id="352">
    <w:p w:rsidR="007A6EB4" w:rsidRDefault="006F3363">
      <w:pPr>
        <w:spacing w:before="120" w:line="240" w:lineRule="atLeast"/>
        <w:jc w:val="both"/>
      </w:pPr>
      <w:r>
        <w:rPr>
          <w:rFonts w:ascii="Arial" w:eastAsia="Arial" w:hAnsi="Arial" w:cs="Arial"/>
          <w:color w:val="000000"/>
          <w:sz w:val="18"/>
          <w:vertAlign w:val="superscript"/>
        </w:rPr>
        <w:t>n5 </w:t>
      </w:r>
      <w:r>
        <w:rPr>
          <w:rFonts w:ascii="Arial" w:eastAsia="Arial" w:hAnsi="Arial" w:cs="Arial"/>
          <w:color w:val="000000"/>
          <w:sz w:val="18"/>
        </w:rPr>
        <w:t xml:space="preserve"> § 626.9706(1), Fla. Stat.</w:t>
      </w:r>
    </w:p>
  </w:footnote>
  <w:footnote w:id="353">
    <w:p w:rsidR="007A6EB4" w:rsidRDefault="006F3363">
      <w:pPr>
        <w:spacing w:before="120" w:line="240" w:lineRule="atLeast"/>
        <w:jc w:val="both"/>
      </w:pPr>
      <w:r>
        <w:rPr>
          <w:rFonts w:ascii="Arial" w:eastAsia="Arial" w:hAnsi="Arial" w:cs="Arial"/>
          <w:color w:val="000000"/>
          <w:sz w:val="18"/>
          <w:vertAlign w:val="superscript"/>
        </w:rPr>
        <w:t>n6 </w:t>
      </w:r>
      <w:r>
        <w:rPr>
          <w:rFonts w:ascii="Arial" w:eastAsia="Arial" w:hAnsi="Arial" w:cs="Arial"/>
          <w:color w:val="000000"/>
          <w:sz w:val="18"/>
        </w:rPr>
        <w:t xml:space="preserve"> § 626.9707(2), Fla. Stat.; § 626.9706(2), Fla. Stat.</w:t>
      </w:r>
    </w:p>
  </w:footnote>
  <w:footnote w:id="354">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448.076, Fla. Stat.</w:t>
      </w:r>
    </w:p>
  </w:footnote>
  <w:footnote w:id="355">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446.51, Fla. Stat.</w:t>
      </w:r>
    </w:p>
    <w:p w:rsidR="007A6EB4" w:rsidRDefault="006F3363">
      <w:pPr>
        <w:spacing w:before="120" w:line="240" w:lineRule="atLeast"/>
        <w:jc w:val="both"/>
      </w:pPr>
      <w:r>
        <w:rPr>
          <w:rFonts w:ascii="Arial" w:eastAsia="Arial" w:hAnsi="Arial" w:cs="Arial"/>
          <w:color w:val="000000"/>
          <w:sz w:val="18"/>
        </w:rPr>
        <w:t>As to the displaced-homemakers' programs, generally, see Fla. Jur. 2d, Welfare §§ 1 et seq.</w:t>
      </w:r>
    </w:p>
  </w:footnote>
  <w:footnote w:id="356">
    <w:p w:rsidR="007A6EB4" w:rsidRDefault="006F3363">
      <w:pPr>
        <w:spacing w:before="120" w:line="240" w:lineRule="atLeast"/>
        <w:jc w:val="both"/>
      </w:pPr>
      <w:r>
        <w:rPr>
          <w:rFonts w:ascii="Arial" w:eastAsia="Arial" w:hAnsi="Arial" w:cs="Arial"/>
          <w:color w:val="000000"/>
          <w:sz w:val="18"/>
          <w:vertAlign w:val="superscript"/>
        </w:rPr>
        <w:t>n1 </w:t>
      </w:r>
      <w:r>
        <w:rPr>
          <w:rFonts w:ascii="Arial" w:eastAsia="Arial" w:hAnsi="Arial" w:cs="Arial"/>
          <w:color w:val="000000"/>
          <w:sz w:val="18"/>
        </w:rPr>
        <w:t xml:space="preserve"> § 760.60(1), Fla. Stat., </w:t>
      </w:r>
      <w:r>
        <w:rPr>
          <w:rFonts w:ascii="Arial" w:eastAsia="Arial" w:hAnsi="Arial" w:cs="Arial"/>
          <w:color w:val="000000"/>
          <w:sz w:val="18"/>
        </w:rPr>
        <w:t>also providing that it is unlawful for a person, on behalf of such a club, to publish, circulate, issue, display, post, or mail any advertisement, notice, or solicitation that contains a statement to the effect that the accommodations, advantages, faciliti</w:t>
      </w:r>
      <w:r>
        <w:rPr>
          <w:rFonts w:ascii="Arial" w:eastAsia="Arial" w:hAnsi="Arial" w:cs="Arial"/>
          <w:color w:val="000000"/>
          <w:sz w:val="18"/>
        </w:rPr>
        <w:t>es, membership, or privileges of the club are denied to any individual because of race, color, religion, gender, national origin, handicap, age above the age of 21, or marital status and that such prohibitions do not apply to fraternal or benevolent organi</w:t>
      </w:r>
      <w:r>
        <w:rPr>
          <w:rFonts w:ascii="Arial" w:eastAsia="Arial" w:hAnsi="Arial" w:cs="Arial"/>
          <w:color w:val="000000"/>
          <w:sz w:val="18"/>
        </w:rPr>
        <w:t>zations, ethnic clubs, or religious organizations where business activity is not prevalent.</w:t>
      </w:r>
    </w:p>
  </w:footnote>
  <w:footnote w:id="357">
    <w:p w:rsidR="007A6EB4" w:rsidRDefault="006F3363">
      <w:pPr>
        <w:spacing w:before="120" w:line="240" w:lineRule="atLeast"/>
        <w:jc w:val="both"/>
      </w:pPr>
      <w:r>
        <w:rPr>
          <w:rFonts w:ascii="Arial" w:eastAsia="Arial" w:hAnsi="Arial" w:cs="Arial"/>
          <w:color w:val="000000"/>
          <w:sz w:val="18"/>
          <w:vertAlign w:val="superscript"/>
        </w:rPr>
        <w:t>n2 </w:t>
      </w:r>
      <w:r>
        <w:rPr>
          <w:rFonts w:ascii="Arial" w:eastAsia="Arial" w:hAnsi="Arial" w:cs="Arial"/>
          <w:color w:val="000000"/>
          <w:sz w:val="18"/>
        </w:rPr>
        <w:t xml:space="preserve"> § 760.60(2), (3), Fla. Stat.</w:t>
      </w:r>
    </w:p>
  </w:footnote>
  <w:footnote w:id="358">
    <w:p w:rsidR="007A6EB4" w:rsidRDefault="006F3363">
      <w:pPr>
        <w:spacing w:before="120" w:line="240" w:lineRule="atLeast"/>
        <w:jc w:val="both"/>
      </w:pPr>
      <w:r>
        <w:rPr>
          <w:rFonts w:ascii="Arial" w:eastAsia="Arial" w:hAnsi="Arial" w:cs="Arial"/>
          <w:color w:val="000000"/>
          <w:sz w:val="18"/>
          <w:vertAlign w:val="superscript"/>
        </w:rPr>
        <w:t>n3 </w:t>
      </w:r>
      <w:r>
        <w:rPr>
          <w:rFonts w:ascii="Arial" w:eastAsia="Arial" w:hAnsi="Arial" w:cs="Arial"/>
          <w:color w:val="000000"/>
          <w:sz w:val="18"/>
        </w:rPr>
        <w:t xml:space="preserve"> § 760.07, Fla. Stat.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Summary</w:t>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w:t>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w:t>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w:t>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w:t>
          </w:r>
        </w:p>
      </w:tc>
    </w:tr>
  </w:tbl>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5</w:t>
          </w:r>
        </w:p>
      </w:tc>
    </w:tr>
  </w:tbl>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6</w:t>
          </w:r>
        </w:p>
      </w:tc>
    </w:tr>
  </w:tbl>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7</w:t>
          </w:r>
        </w:p>
      </w:tc>
    </w:tr>
  </w:tbl>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8</w:t>
          </w:r>
        </w:p>
      </w:tc>
    </w:tr>
  </w:tbl>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9</w:t>
          </w:r>
        </w:p>
      </w:tc>
    </w:tr>
  </w:tbl>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10</w:t>
          </w:r>
        </w:p>
      </w:tc>
    </w:tr>
  </w:tbl>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11</w:t>
          </w:r>
        </w:p>
      </w:tc>
    </w:tr>
  </w:tbl>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12</w:t>
          </w:r>
        </w:p>
      </w:tc>
    </w:tr>
  </w:tbl>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13</w:t>
          </w:r>
        </w:p>
      </w:tc>
    </w:tr>
  </w:tbl>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 xml:space="preserve">9 Fla Jur </w:t>
          </w:r>
          <w:r>
            <w:rPr>
              <w:rFonts w:ascii="Arial" w:eastAsia="Arial" w:hAnsi="Arial" w:cs="Arial"/>
              <w:sz w:val="20"/>
            </w:rPr>
            <w:t>Civil Rights § 14</w:t>
          </w:r>
        </w:p>
      </w:tc>
    </w:tr>
  </w:tbl>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15</w:t>
          </w:r>
        </w:p>
      </w:tc>
    </w:tr>
  </w:tbl>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16</w:t>
          </w:r>
        </w:p>
      </w:tc>
    </w:tr>
  </w:tbl>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17</w:t>
          </w:r>
        </w:p>
      </w:tc>
    </w:tr>
  </w:tbl>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18</w:t>
          </w:r>
        </w:p>
      </w:tc>
    </w:tr>
  </w:tbl>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19</w:t>
          </w:r>
        </w:p>
      </w:tc>
    </w:tr>
  </w:tbl>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20</w:t>
          </w:r>
        </w:p>
      </w:tc>
    </w:tr>
  </w:tbl>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21</w:t>
          </w:r>
        </w:p>
      </w:tc>
    </w:tr>
  </w:tbl>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22</w:t>
          </w:r>
        </w:p>
      </w:tc>
    </w:tr>
  </w:tbl>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23</w:t>
          </w:r>
        </w:p>
      </w:tc>
    </w:tr>
  </w:tbl>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24</w:t>
          </w:r>
        </w:p>
      </w:tc>
    </w:tr>
  </w:tbl>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25</w:t>
          </w:r>
        </w:p>
      </w:tc>
    </w:tr>
  </w:tbl>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26</w:t>
          </w:r>
        </w:p>
      </w:tc>
    </w:tr>
  </w:tbl>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27</w:t>
          </w:r>
        </w:p>
      </w:tc>
    </w:tr>
  </w:tbl>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28</w:t>
          </w:r>
        </w:p>
      </w:tc>
    </w:tr>
  </w:tbl>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29</w:t>
          </w:r>
        </w:p>
      </w:tc>
    </w:tr>
  </w:tbl>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30</w:t>
          </w:r>
        </w:p>
      </w:tc>
    </w:tr>
  </w:tbl>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31</w:t>
          </w:r>
        </w:p>
      </w:tc>
    </w:tr>
  </w:tbl>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32</w:t>
          </w:r>
        </w:p>
      </w:tc>
    </w:tr>
  </w:tbl>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33</w:t>
          </w:r>
        </w:p>
      </w:tc>
    </w:tr>
  </w:tbl>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34</w:t>
          </w:r>
        </w:p>
      </w:tc>
    </w:tr>
  </w:tbl>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35</w:t>
          </w:r>
        </w:p>
      </w:tc>
    </w:tr>
  </w:tbl>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36</w:t>
          </w:r>
        </w:p>
      </w:tc>
    </w:tr>
  </w:tbl>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37</w:t>
          </w:r>
        </w:p>
      </w:tc>
    </w:tr>
  </w:tbl>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38</w:t>
          </w:r>
        </w:p>
      </w:tc>
    </w:tr>
  </w:tbl>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39</w:t>
          </w:r>
        </w:p>
      </w:tc>
    </w:tr>
  </w:tbl>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40</w:t>
          </w:r>
        </w:p>
      </w:tc>
    </w:tr>
  </w:tbl>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41</w:t>
          </w:r>
        </w:p>
      </w:tc>
    </w:tr>
  </w:tbl>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42</w:t>
          </w:r>
        </w:p>
      </w:tc>
    </w:tr>
  </w:tbl>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43</w:t>
          </w:r>
        </w:p>
      </w:tc>
    </w:tr>
  </w:tbl>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80" w:type="dxa"/>
      <w:jc w:val="center"/>
      <w:tblBorders>
        <w:top w:val="nil"/>
        <w:left w:val="nil"/>
        <w:bottom w:val="nil"/>
        <w:right w:val="nil"/>
        <w:insideH w:val="nil"/>
        <w:insideV w:val="nil"/>
      </w:tblBorders>
      <w:tblLayout w:type="fixed"/>
      <w:tblLook w:val="04A0" w:firstRow="1" w:lastRow="0" w:firstColumn="1" w:lastColumn="0" w:noHBand="0" w:noVBand="1"/>
    </w:tblPr>
    <w:tblGrid>
      <w:gridCol w:w="10080"/>
    </w:tblGrid>
    <w:tr w:rsidR="007A6EB4">
      <w:trPr>
        <w:jc w:val="center"/>
      </w:trPr>
      <w:tc>
        <w:tcPr>
          <w:tcW w:w="10080" w:type="dxa"/>
          <w:vAlign w:val="center"/>
        </w:tcPr>
        <w:p w:rsidR="007A6EB4" w:rsidRDefault="007A6EB4"/>
      </w:tc>
    </w:tr>
    <w:tr w:rsidR="007A6EB4">
      <w:trPr>
        <w:jc w:val="center"/>
      </w:trPr>
      <w:tc>
        <w:tcPr>
          <w:tcW w:w="10080" w:type="dxa"/>
        </w:tcPr>
        <w:p w:rsidR="007A6EB4" w:rsidRDefault="006F3363">
          <w:pPr>
            <w:spacing w:before="60" w:after="200"/>
            <w:jc w:val="center"/>
          </w:pPr>
          <w:r>
            <w:rPr>
              <w:rFonts w:ascii="Arial" w:eastAsia="Arial" w:hAnsi="Arial" w:cs="Arial"/>
              <w:sz w:val="20"/>
            </w:rPr>
            <w:t>9 Fla Jur Civil Rights § 44</w:t>
          </w:r>
        </w:p>
      </w:tc>
    </w:tr>
  </w:tbl>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6EB4" w:rsidRDefault="007A6EB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77B3E"/>
    <w:rsid w:val="006F3363"/>
    <w:rsid w:val="007A6EB4"/>
    <w:rsid w:val="00A77B3E"/>
    <w:rsid w:val="00CA2A55"/>
    <w:rsid w:val="00D3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77"/>
    <o:shapelayout v:ext="edit">
      <o:idmap v:ext="edit" data="1"/>
    </o:shapelayout>
  </w:shapeDefaults>
  <w:decimalSymbol w:val="."/>
  <w:listSeparator w:val=","/>
  <w15:docId w15:val="{E21D97F4-7FE3-4743-B856-90B24F361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footer" Target="footer55.xml"/><Relationship Id="rId21" Type="http://schemas.openxmlformats.org/officeDocument/2006/relationships/footer" Target="footer7.xml"/><Relationship Id="rId42" Type="http://schemas.openxmlformats.org/officeDocument/2006/relationships/footer" Target="footer18.xml"/><Relationship Id="rId63" Type="http://schemas.openxmlformats.org/officeDocument/2006/relationships/footer" Target="footer28.xml"/><Relationship Id="rId84" Type="http://schemas.openxmlformats.org/officeDocument/2006/relationships/footer" Target="footer39.xml"/><Relationship Id="rId138" Type="http://schemas.openxmlformats.org/officeDocument/2006/relationships/footer" Target="footer66.xml"/><Relationship Id="rId159" Type="http://schemas.openxmlformats.org/officeDocument/2006/relationships/footer" Target="footer76.xml"/><Relationship Id="rId170" Type="http://schemas.openxmlformats.org/officeDocument/2006/relationships/header" Target="header83.xml"/><Relationship Id="rId191" Type="http://schemas.openxmlformats.org/officeDocument/2006/relationships/header" Target="header93.xml"/><Relationship Id="rId205" Type="http://schemas.openxmlformats.org/officeDocument/2006/relationships/header" Target="header100.xml"/><Relationship Id="rId226" Type="http://schemas.openxmlformats.org/officeDocument/2006/relationships/footer" Target="footer110.xml"/><Relationship Id="rId247" Type="http://schemas.openxmlformats.org/officeDocument/2006/relationships/header" Target="header121.xml"/><Relationship Id="rId107" Type="http://schemas.openxmlformats.org/officeDocument/2006/relationships/header" Target="header51.xml"/><Relationship Id="rId268" Type="http://schemas.openxmlformats.org/officeDocument/2006/relationships/footer" Target="footer131.xml"/><Relationship Id="rId11" Type="http://schemas.openxmlformats.org/officeDocument/2006/relationships/footer" Target="footer3.xml"/><Relationship Id="rId32" Type="http://schemas.openxmlformats.org/officeDocument/2006/relationships/header" Target="header14.xml"/><Relationship Id="rId53" Type="http://schemas.openxmlformats.org/officeDocument/2006/relationships/header" Target="header24.xml"/><Relationship Id="rId74" Type="http://schemas.openxmlformats.org/officeDocument/2006/relationships/header" Target="header35.xml"/><Relationship Id="rId128" Type="http://schemas.openxmlformats.org/officeDocument/2006/relationships/header" Target="header62.xml"/><Relationship Id="rId149" Type="http://schemas.openxmlformats.org/officeDocument/2006/relationships/header" Target="header72.xml"/><Relationship Id="rId5" Type="http://schemas.openxmlformats.org/officeDocument/2006/relationships/endnotes" Target="endnotes.xml"/><Relationship Id="rId95" Type="http://schemas.openxmlformats.org/officeDocument/2006/relationships/header" Target="header45.xml"/><Relationship Id="rId160" Type="http://schemas.openxmlformats.org/officeDocument/2006/relationships/footer" Target="footer77.xml"/><Relationship Id="rId181" Type="http://schemas.openxmlformats.org/officeDocument/2006/relationships/header" Target="header88.xml"/><Relationship Id="rId216" Type="http://schemas.openxmlformats.org/officeDocument/2006/relationships/footer" Target="footer105.xml"/><Relationship Id="rId237" Type="http://schemas.openxmlformats.org/officeDocument/2006/relationships/footer" Target="footer115.xml"/><Relationship Id="rId258" Type="http://schemas.openxmlformats.org/officeDocument/2006/relationships/footer" Target="footer126.xml"/><Relationship Id="rId22" Type="http://schemas.openxmlformats.org/officeDocument/2006/relationships/footer" Target="footer8.xml"/><Relationship Id="rId43" Type="http://schemas.openxmlformats.org/officeDocument/2006/relationships/header" Target="header19.xml"/><Relationship Id="rId64" Type="http://schemas.openxmlformats.org/officeDocument/2006/relationships/footer" Target="footer29.xml"/><Relationship Id="rId118" Type="http://schemas.openxmlformats.org/officeDocument/2006/relationships/footer" Target="footer56.xml"/><Relationship Id="rId139" Type="http://schemas.openxmlformats.org/officeDocument/2006/relationships/header" Target="header67.xml"/><Relationship Id="rId85" Type="http://schemas.openxmlformats.org/officeDocument/2006/relationships/header" Target="header40.xml"/><Relationship Id="rId150" Type="http://schemas.openxmlformats.org/officeDocument/2006/relationships/footer" Target="footer72.xml"/><Relationship Id="rId171" Type="http://schemas.openxmlformats.org/officeDocument/2006/relationships/footer" Target="footer82.xml"/><Relationship Id="rId192" Type="http://schemas.openxmlformats.org/officeDocument/2006/relationships/footer" Target="footer93.xml"/><Relationship Id="rId206" Type="http://schemas.openxmlformats.org/officeDocument/2006/relationships/header" Target="header101.xml"/><Relationship Id="rId227" Type="http://schemas.openxmlformats.org/officeDocument/2006/relationships/header" Target="header111.xml"/><Relationship Id="rId248" Type="http://schemas.openxmlformats.org/officeDocument/2006/relationships/header" Target="header122.xml"/><Relationship Id="rId269" Type="http://schemas.openxmlformats.org/officeDocument/2006/relationships/header" Target="header132.xml"/><Relationship Id="rId12" Type="http://schemas.openxmlformats.org/officeDocument/2006/relationships/image" Target="media/image1.png"/><Relationship Id="rId33" Type="http://schemas.openxmlformats.org/officeDocument/2006/relationships/footer" Target="footer13.xml"/><Relationship Id="rId108" Type="http://schemas.openxmlformats.org/officeDocument/2006/relationships/footer" Target="footer51.xml"/><Relationship Id="rId129" Type="http://schemas.openxmlformats.org/officeDocument/2006/relationships/footer" Target="footer61.xml"/><Relationship Id="rId54" Type="http://schemas.openxmlformats.org/officeDocument/2006/relationships/footer" Target="footer24.xml"/><Relationship Id="rId75" Type="http://schemas.openxmlformats.org/officeDocument/2006/relationships/footer" Target="footer34.xml"/><Relationship Id="rId96" Type="http://schemas.openxmlformats.org/officeDocument/2006/relationships/footer" Target="footer45.xml"/><Relationship Id="rId140" Type="http://schemas.openxmlformats.org/officeDocument/2006/relationships/header" Target="header68.xml"/><Relationship Id="rId161" Type="http://schemas.openxmlformats.org/officeDocument/2006/relationships/header" Target="header78.xml"/><Relationship Id="rId182" Type="http://schemas.openxmlformats.org/officeDocument/2006/relationships/header" Target="header89.xml"/><Relationship Id="rId217" Type="http://schemas.openxmlformats.org/officeDocument/2006/relationships/header" Target="header106.xml"/><Relationship Id="rId6" Type="http://schemas.openxmlformats.org/officeDocument/2006/relationships/header" Target="header1.xml"/><Relationship Id="rId238" Type="http://schemas.openxmlformats.org/officeDocument/2006/relationships/footer" Target="footer116.xml"/><Relationship Id="rId259" Type="http://schemas.openxmlformats.org/officeDocument/2006/relationships/header" Target="header127.xml"/><Relationship Id="rId23" Type="http://schemas.openxmlformats.org/officeDocument/2006/relationships/header" Target="header9.xml"/><Relationship Id="rId119" Type="http://schemas.openxmlformats.org/officeDocument/2006/relationships/header" Target="header57.xml"/><Relationship Id="rId270" Type="http://schemas.openxmlformats.org/officeDocument/2006/relationships/footer" Target="footer132.xml"/><Relationship Id="rId44" Type="http://schemas.openxmlformats.org/officeDocument/2006/relationships/header" Target="header20.xml"/><Relationship Id="rId65" Type="http://schemas.openxmlformats.org/officeDocument/2006/relationships/header" Target="header30.xml"/><Relationship Id="rId86" Type="http://schemas.openxmlformats.org/officeDocument/2006/relationships/header" Target="header41.xml"/><Relationship Id="rId130" Type="http://schemas.openxmlformats.org/officeDocument/2006/relationships/footer" Target="footer62.xml"/><Relationship Id="rId151" Type="http://schemas.openxmlformats.org/officeDocument/2006/relationships/header" Target="header73.xml"/><Relationship Id="rId172" Type="http://schemas.openxmlformats.org/officeDocument/2006/relationships/footer" Target="footer83.xml"/><Relationship Id="rId193" Type="http://schemas.openxmlformats.org/officeDocument/2006/relationships/header" Target="header94.xml"/><Relationship Id="rId202" Type="http://schemas.openxmlformats.org/officeDocument/2006/relationships/footer" Target="footer98.xml"/><Relationship Id="rId207" Type="http://schemas.openxmlformats.org/officeDocument/2006/relationships/footer" Target="footer100.xml"/><Relationship Id="rId223" Type="http://schemas.openxmlformats.org/officeDocument/2006/relationships/header" Target="header109.xml"/><Relationship Id="rId228" Type="http://schemas.openxmlformats.org/officeDocument/2006/relationships/footer" Target="footer111.xml"/><Relationship Id="rId244" Type="http://schemas.openxmlformats.org/officeDocument/2006/relationships/footer" Target="footer119.xml"/><Relationship Id="rId249" Type="http://schemas.openxmlformats.org/officeDocument/2006/relationships/footer" Target="footer121.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footer" Target="footer16.xml"/><Relationship Id="rId109" Type="http://schemas.openxmlformats.org/officeDocument/2006/relationships/header" Target="header52.xml"/><Relationship Id="rId260" Type="http://schemas.openxmlformats.org/officeDocument/2006/relationships/header" Target="header128.xml"/><Relationship Id="rId265" Type="http://schemas.openxmlformats.org/officeDocument/2006/relationships/header" Target="header130.xml"/><Relationship Id="rId34" Type="http://schemas.openxmlformats.org/officeDocument/2006/relationships/footer" Target="footer14.xml"/><Relationship Id="rId50" Type="http://schemas.openxmlformats.org/officeDocument/2006/relationships/header" Target="header23.xml"/><Relationship Id="rId55" Type="http://schemas.openxmlformats.org/officeDocument/2006/relationships/header" Target="header25.xml"/><Relationship Id="rId76" Type="http://schemas.openxmlformats.org/officeDocument/2006/relationships/footer" Target="footer35.xml"/><Relationship Id="rId97" Type="http://schemas.openxmlformats.org/officeDocument/2006/relationships/header" Target="header46.xml"/><Relationship Id="rId104" Type="http://schemas.openxmlformats.org/officeDocument/2006/relationships/header" Target="header50.xml"/><Relationship Id="rId120" Type="http://schemas.openxmlformats.org/officeDocument/2006/relationships/footer" Target="footer57.xml"/><Relationship Id="rId125" Type="http://schemas.openxmlformats.org/officeDocument/2006/relationships/header" Target="header60.xml"/><Relationship Id="rId141" Type="http://schemas.openxmlformats.org/officeDocument/2006/relationships/footer" Target="footer67.xml"/><Relationship Id="rId146" Type="http://schemas.openxmlformats.org/officeDocument/2006/relationships/header" Target="header71.xml"/><Relationship Id="rId167" Type="http://schemas.openxmlformats.org/officeDocument/2006/relationships/header" Target="header81.xml"/><Relationship Id="rId188" Type="http://schemas.openxmlformats.org/officeDocument/2006/relationships/header" Target="header92.xml"/><Relationship Id="rId7" Type="http://schemas.openxmlformats.org/officeDocument/2006/relationships/header" Target="header2.xml"/><Relationship Id="rId71" Type="http://schemas.openxmlformats.org/officeDocument/2006/relationships/header" Target="header33.xml"/><Relationship Id="rId92" Type="http://schemas.openxmlformats.org/officeDocument/2006/relationships/header" Target="header44.xml"/><Relationship Id="rId162" Type="http://schemas.openxmlformats.org/officeDocument/2006/relationships/footer" Target="footer78.xml"/><Relationship Id="rId183" Type="http://schemas.openxmlformats.org/officeDocument/2006/relationships/footer" Target="footer88.xml"/><Relationship Id="rId213" Type="http://schemas.openxmlformats.org/officeDocument/2006/relationships/footer" Target="footer103.xml"/><Relationship Id="rId218" Type="http://schemas.openxmlformats.org/officeDocument/2006/relationships/header" Target="header107.xml"/><Relationship Id="rId234" Type="http://schemas.openxmlformats.org/officeDocument/2006/relationships/footer" Target="footer114.xml"/><Relationship Id="rId239" Type="http://schemas.openxmlformats.org/officeDocument/2006/relationships/header" Target="header117.xml"/><Relationship Id="rId2" Type="http://schemas.openxmlformats.org/officeDocument/2006/relationships/settings" Target="settings.xml"/><Relationship Id="rId29" Type="http://schemas.openxmlformats.org/officeDocument/2006/relationships/header" Target="header12.xml"/><Relationship Id="rId250" Type="http://schemas.openxmlformats.org/officeDocument/2006/relationships/footer" Target="footer122.xml"/><Relationship Id="rId255" Type="http://schemas.openxmlformats.org/officeDocument/2006/relationships/footer" Target="footer124.xml"/><Relationship Id="rId271" Type="http://schemas.openxmlformats.org/officeDocument/2006/relationships/header" Target="header133.xml"/><Relationship Id="rId276" Type="http://schemas.openxmlformats.org/officeDocument/2006/relationships/footer" Target="footer135.xml"/><Relationship Id="rId24" Type="http://schemas.openxmlformats.org/officeDocument/2006/relationships/footer" Target="footer9.xml"/><Relationship Id="rId40" Type="http://schemas.openxmlformats.org/officeDocument/2006/relationships/footer" Target="footer17.xml"/><Relationship Id="rId45" Type="http://schemas.openxmlformats.org/officeDocument/2006/relationships/footer" Target="footer19.xml"/><Relationship Id="rId66" Type="http://schemas.openxmlformats.org/officeDocument/2006/relationships/footer" Target="footer30.xml"/><Relationship Id="rId87" Type="http://schemas.openxmlformats.org/officeDocument/2006/relationships/footer" Target="footer40.xml"/><Relationship Id="rId110" Type="http://schemas.openxmlformats.org/officeDocument/2006/relationships/header" Target="header53.xml"/><Relationship Id="rId115" Type="http://schemas.openxmlformats.org/officeDocument/2006/relationships/header" Target="header55.xml"/><Relationship Id="rId131" Type="http://schemas.openxmlformats.org/officeDocument/2006/relationships/header" Target="header63.xml"/><Relationship Id="rId136" Type="http://schemas.openxmlformats.org/officeDocument/2006/relationships/footer" Target="footer65.xml"/><Relationship Id="rId157" Type="http://schemas.openxmlformats.org/officeDocument/2006/relationships/header" Target="header76.xml"/><Relationship Id="rId178" Type="http://schemas.openxmlformats.org/officeDocument/2006/relationships/footer" Target="footer86.xml"/><Relationship Id="rId61" Type="http://schemas.openxmlformats.org/officeDocument/2006/relationships/header" Target="header28.xml"/><Relationship Id="rId82" Type="http://schemas.openxmlformats.org/officeDocument/2006/relationships/footer" Target="footer38.xml"/><Relationship Id="rId152" Type="http://schemas.openxmlformats.org/officeDocument/2006/relationships/header" Target="header74.xml"/><Relationship Id="rId173" Type="http://schemas.openxmlformats.org/officeDocument/2006/relationships/header" Target="header84.xml"/><Relationship Id="rId194" Type="http://schemas.openxmlformats.org/officeDocument/2006/relationships/header" Target="header95.xml"/><Relationship Id="rId199" Type="http://schemas.openxmlformats.org/officeDocument/2006/relationships/header" Target="header97.xml"/><Relationship Id="rId203" Type="http://schemas.openxmlformats.org/officeDocument/2006/relationships/header" Target="header99.xml"/><Relationship Id="rId208" Type="http://schemas.openxmlformats.org/officeDocument/2006/relationships/footer" Target="footer101.xml"/><Relationship Id="rId229" Type="http://schemas.openxmlformats.org/officeDocument/2006/relationships/header" Target="header112.xml"/><Relationship Id="rId19" Type="http://schemas.openxmlformats.org/officeDocument/2006/relationships/header" Target="header7.xml"/><Relationship Id="rId224" Type="http://schemas.openxmlformats.org/officeDocument/2006/relationships/header" Target="header110.xml"/><Relationship Id="rId240" Type="http://schemas.openxmlformats.org/officeDocument/2006/relationships/footer" Target="footer117.xml"/><Relationship Id="rId245" Type="http://schemas.openxmlformats.org/officeDocument/2006/relationships/header" Target="header120.xml"/><Relationship Id="rId261" Type="http://schemas.openxmlformats.org/officeDocument/2006/relationships/footer" Target="footer127.xml"/><Relationship Id="rId266" Type="http://schemas.openxmlformats.org/officeDocument/2006/relationships/header" Target="header131.xml"/><Relationship Id="rId14" Type="http://schemas.openxmlformats.org/officeDocument/2006/relationships/header" Target="header5.xml"/><Relationship Id="rId30" Type="http://schemas.openxmlformats.org/officeDocument/2006/relationships/footer" Target="footer12.xml"/><Relationship Id="rId35" Type="http://schemas.openxmlformats.org/officeDocument/2006/relationships/header" Target="header15.xml"/><Relationship Id="rId56" Type="http://schemas.openxmlformats.org/officeDocument/2006/relationships/header" Target="header26.xml"/><Relationship Id="rId77" Type="http://schemas.openxmlformats.org/officeDocument/2006/relationships/header" Target="header36.xml"/><Relationship Id="rId100" Type="http://schemas.openxmlformats.org/officeDocument/2006/relationships/footer" Target="footer47.xml"/><Relationship Id="rId105" Type="http://schemas.openxmlformats.org/officeDocument/2006/relationships/footer" Target="footer49.xml"/><Relationship Id="rId126" Type="http://schemas.openxmlformats.org/officeDocument/2006/relationships/footer" Target="footer60.xml"/><Relationship Id="rId147" Type="http://schemas.openxmlformats.org/officeDocument/2006/relationships/footer" Target="footer70.xml"/><Relationship Id="rId168" Type="http://schemas.openxmlformats.org/officeDocument/2006/relationships/footer" Target="footer81.xml"/><Relationship Id="rId8" Type="http://schemas.openxmlformats.org/officeDocument/2006/relationships/footer" Target="footer1.xml"/><Relationship Id="rId51" Type="http://schemas.openxmlformats.org/officeDocument/2006/relationships/footer" Target="footer22.xml"/><Relationship Id="rId72" Type="http://schemas.openxmlformats.org/officeDocument/2006/relationships/footer" Target="footer33.xml"/><Relationship Id="rId93" Type="http://schemas.openxmlformats.org/officeDocument/2006/relationships/footer" Target="footer43.xml"/><Relationship Id="rId98" Type="http://schemas.openxmlformats.org/officeDocument/2006/relationships/header" Target="header47.xml"/><Relationship Id="rId121" Type="http://schemas.openxmlformats.org/officeDocument/2006/relationships/header" Target="header58.xml"/><Relationship Id="rId142" Type="http://schemas.openxmlformats.org/officeDocument/2006/relationships/footer" Target="footer68.xml"/><Relationship Id="rId163" Type="http://schemas.openxmlformats.org/officeDocument/2006/relationships/header" Target="header79.xml"/><Relationship Id="rId184" Type="http://schemas.openxmlformats.org/officeDocument/2006/relationships/footer" Target="footer89.xml"/><Relationship Id="rId189" Type="http://schemas.openxmlformats.org/officeDocument/2006/relationships/footer" Target="footer91.xml"/><Relationship Id="rId219" Type="http://schemas.openxmlformats.org/officeDocument/2006/relationships/footer" Target="footer106.xml"/><Relationship Id="rId3" Type="http://schemas.openxmlformats.org/officeDocument/2006/relationships/webSettings" Target="webSettings.xml"/><Relationship Id="rId214" Type="http://schemas.openxmlformats.org/officeDocument/2006/relationships/footer" Target="footer104.xml"/><Relationship Id="rId230" Type="http://schemas.openxmlformats.org/officeDocument/2006/relationships/header" Target="header113.xml"/><Relationship Id="rId235" Type="http://schemas.openxmlformats.org/officeDocument/2006/relationships/header" Target="header115.xml"/><Relationship Id="rId251" Type="http://schemas.openxmlformats.org/officeDocument/2006/relationships/header" Target="header123.xml"/><Relationship Id="rId256" Type="http://schemas.openxmlformats.org/officeDocument/2006/relationships/footer" Target="footer125.xml"/><Relationship Id="rId277" Type="http://schemas.openxmlformats.org/officeDocument/2006/relationships/fontTable" Target="fontTable.xml"/><Relationship Id="rId25" Type="http://schemas.openxmlformats.org/officeDocument/2006/relationships/header" Target="header10.xml"/><Relationship Id="rId46" Type="http://schemas.openxmlformats.org/officeDocument/2006/relationships/footer" Target="footer20.xml"/><Relationship Id="rId67" Type="http://schemas.openxmlformats.org/officeDocument/2006/relationships/header" Target="header31.xml"/><Relationship Id="rId116" Type="http://schemas.openxmlformats.org/officeDocument/2006/relationships/header" Target="header56.xml"/><Relationship Id="rId137" Type="http://schemas.openxmlformats.org/officeDocument/2006/relationships/header" Target="header66.xml"/><Relationship Id="rId158" Type="http://schemas.openxmlformats.org/officeDocument/2006/relationships/header" Target="header77.xml"/><Relationship Id="rId272" Type="http://schemas.openxmlformats.org/officeDocument/2006/relationships/header" Target="header134.xml"/><Relationship Id="rId20" Type="http://schemas.openxmlformats.org/officeDocument/2006/relationships/header" Target="header8.xml"/><Relationship Id="rId41" Type="http://schemas.openxmlformats.org/officeDocument/2006/relationships/header" Target="header18.xml"/><Relationship Id="rId62" Type="http://schemas.openxmlformats.org/officeDocument/2006/relationships/header" Target="header29.xml"/><Relationship Id="rId83" Type="http://schemas.openxmlformats.org/officeDocument/2006/relationships/header" Target="header39.xml"/><Relationship Id="rId88" Type="http://schemas.openxmlformats.org/officeDocument/2006/relationships/footer" Target="footer41.xml"/><Relationship Id="rId111" Type="http://schemas.openxmlformats.org/officeDocument/2006/relationships/footer" Target="footer52.xml"/><Relationship Id="rId132" Type="http://schemas.openxmlformats.org/officeDocument/2006/relationships/footer" Target="footer63.xml"/><Relationship Id="rId153" Type="http://schemas.openxmlformats.org/officeDocument/2006/relationships/footer" Target="footer73.xml"/><Relationship Id="rId174" Type="http://schemas.openxmlformats.org/officeDocument/2006/relationships/footer" Target="footer84.xml"/><Relationship Id="rId179" Type="http://schemas.openxmlformats.org/officeDocument/2006/relationships/header" Target="header87.xml"/><Relationship Id="rId195" Type="http://schemas.openxmlformats.org/officeDocument/2006/relationships/footer" Target="footer94.xml"/><Relationship Id="rId209" Type="http://schemas.openxmlformats.org/officeDocument/2006/relationships/header" Target="header102.xml"/><Relationship Id="rId190" Type="http://schemas.openxmlformats.org/officeDocument/2006/relationships/footer" Target="footer92.xml"/><Relationship Id="rId204" Type="http://schemas.openxmlformats.org/officeDocument/2006/relationships/footer" Target="footer99.xml"/><Relationship Id="rId220" Type="http://schemas.openxmlformats.org/officeDocument/2006/relationships/footer" Target="footer107.xml"/><Relationship Id="rId225" Type="http://schemas.openxmlformats.org/officeDocument/2006/relationships/footer" Target="footer109.xml"/><Relationship Id="rId241" Type="http://schemas.openxmlformats.org/officeDocument/2006/relationships/header" Target="header118.xml"/><Relationship Id="rId246" Type="http://schemas.openxmlformats.org/officeDocument/2006/relationships/footer" Target="footer120.xml"/><Relationship Id="rId267" Type="http://schemas.openxmlformats.org/officeDocument/2006/relationships/footer" Target="footer130.xml"/><Relationship Id="rId15" Type="http://schemas.openxmlformats.org/officeDocument/2006/relationships/footer" Target="footer4.xml"/><Relationship Id="rId36" Type="http://schemas.openxmlformats.org/officeDocument/2006/relationships/footer" Target="footer15.xml"/><Relationship Id="rId57" Type="http://schemas.openxmlformats.org/officeDocument/2006/relationships/footer" Target="footer25.xml"/><Relationship Id="rId106" Type="http://schemas.openxmlformats.org/officeDocument/2006/relationships/footer" Target="footer50.xml"/><Relationship Id="rId127" Type="http://schemas.openxmlformats.org/officeDocument/2006/relationships/header" Target="header61.xml"/><Relationship Id="rId262" Type="http://schemas.openxmlformats.org/officeDocument/2006/relationships/footer" Target="footer128.xml"/><Relationship Id="rId10" Type="http://schemas.openxmlformats.org/officeDocument/2006/relationships/header" Target="header3.xml"/><Relationship Id="rId31" Type="http://schemas.openxmlformats.org/officeDocument/2006/relationships/header" Target="header13.xml"/><Relationship Id="rId52" Type="http://schemas.openxmlformats.org/officeDocument/2006/relationships/footer" Target="footer23.xml"/><Relationship Id="rId73" Type="http://schemas.openxmlformats.org/officeDocument/2006/relationships/header" Target="header34.xml"/><Relationship Id="rId78" Type="http://schemas.openxmlformats.org/officeDocument/2006/relationships/footer" Target="footer36.xml"/><Relationship Id="rId94" Type="http://schemas.openxmlformats.org/officeDocument/2006/relationships/footer" Target="footer44.xml"/><Relationship Id="rId99" Type="http://schemas.openxmlformats.org/officeDocument/2006/relationships/footer" Target="footer46.xml"/><Relationship Id="rId101" Type="http://schemas.openxmlformats.org/officeDocument/2006/relationships/header" Target="header48.xml"/><Relationship Id="rId122" Type="http://schemas.openxmlformats.org/officeDocument/2006/relationships/header" Target="header59.xml"/><Relationship Id="rId143" Type="http://schemas.openxmlformats.org/officeDocument/2006/relationships/header" Target="header69.xml"/><Relationship Id="rId148" Type="http://schemas.openxmlformats.org/officeDocument/2006/relationships/footer" Target="footer71.xml"/><Relationship Id="rId164" Type="http://schemas.openxmlformats.org/officeDocument/2006/relationships/header" Target="header80.xml"/><Relationship Id="rId169" Type="http://schemas.openxmlformats.org/officeDocument/2006/relationships/header" Target="header82.xml"/><Relationship Id="rId185" Type="http://schemas.openxmlformats.org/officeDocument/2006/relationships/header" Target="header90.xml"/><Relationship Id="rId4" Type="http://schemas.openxmlformats.org/officeDocument/2006/relationships/footnotes" Target="footnotes.xml"/><Relationship Id="rId9" Type="http://schemas.openxmlformats.org/officeDocument/2006/relationships/footer" Target="footer2.xml"/><Relationship Id="rId180" Type="http://schemas.openxmlformats.org/officeDocument/2006/relationships/footer" Target="footer87.xml"/><Relationship Id="rId210" Type="http://schemas.openxmlformats.org/officeDocument/2006/relationships/footer" Target="footer102.xml"/><Relationship Id="rId215" Type="http://schemas.openxmlformats.org/officeDocument/2006/relationships/header" Target="header105.xml"/><Relationship Id="rId236" Type="http://schemas.openxmlformats.org/officeDocument/2006/relationships/header" Target="header116.xml"/><Relationship Id="rId257" Type="http://schemas.openxmlformats.org/officeDocument/2006/relationships/header" Target="header126.xml"/><Relationship Id="rId278" Type="http://schemas.openxmlformats.org/officeDocument/2006/relationships/theme" Target="theme/theme1.xml"/><Relationship Id="rId26" Type="http://schemas.openxmlformats.org/officeDocument/2006/relationships/header" Target="header11.xml"/><Relationship Id="rId231" Type="http://schemas.openxmlformats.org/officeDocument/2006/relationships/footer" Target="footer112.xml"/><Relationship Id="rId252" Type="http://schemas.openxmlformats.org/officeDocument/2006/relationships/footer" Target="footer123.xml"/><Relationship Id="rId273" Type="http://schemas.openxmlformats.org/officeDocument/2006/relationships/footer" Target="footer133.xml"/><Relationship Id="rId47" Type="http://schemas.openxmlformats.org/officeDocument/2006/relationships/header" Target="header21.xml"/><Relationship Id="rId68" Type="http://schemas.openxmlformats.org/officeDocument/2006/relationships/header" Target="header32.xml"/><Relationship Id="rId89" Type="http://schemas.openxmlformats.org/officeDocument/2006/relationships/header" Target="header42.xml"/><Relationship Id="rId112" Type="http://schemas.openxmlformats.org/officeDocument/2006/relationships/footer" Target="footer53.xml"/><Relationship Id="rId133" Type="http://schemas.openxmlformats.org/officeDocument/2006/relationships/header" Target="header64.xml"/><Relationship Id="rId154" Type="http://schemas.openxmlformats.org/officeDocument/2006/relationships/footer" Target="footer74.xml"/><Relationship Id="rId175" Type="http://schemas.openxmlformats.org/officeDocument/2006/relationships/header" Target="header85.xml"/><Relationship Id="rId196" Type="http://schemas.openxmlformats.org/officeDocument/2006/relationships/footer" Target="footer95.xml"/><Relationship Id="rId200" Type="http://schemas.openxmlformats.org/officeDocument/2006/relationships/header" Target="header98.xml"/><Relationship Id="rId16" Type="http://schemas.openxmlformats.org/officeDocument/2006/relationships/footer" Target="footer5.xml"/><Relationship Id="rId221" Type="http://schemas.openxmlformats.org/officeDocument/2006/relationships/header" Target="header108.xml"/><Relationship Id="rId242" Type="http://schemas.openxmlformats.org/officeDocument/2006/relationships/header" Target="header119.xml"/><Relationship Id="rId263" Type="http://schemas.openxmlformats.org/officeDocument/2006/relationships/header" Target="header129.xml"/><Relationship Id="rId37" Type="http://schemas.openxmlformats.org/officeDocument/2006/relationships/header" Target="header16.xml"/><Relationship Id="rId58" Type="http://schemas.openxmlformats.org/officeDocument/2006/relationships/footer" Target="footer26.xml"/><Relationship Id="rId79" Type="http://schemas.openxmlformats.org/officeDocument/2006/relationships/header" Target="header37.xml"/><Relationship Id="rId102" Type="http://schemas.openxmlformats.org/officeDocument/2006/relationships/footer" Target="footer48.xml"/><Relationship Id="rId123" Type="http://schemas.openxmlformats.org/officeDocument/2006/relationships/footer" Target="footer58.xml"/><Relationship Id="rId144" Type="http://schemas.openxmlformats.org/officeDocument/2006/relationships/footer" Target="footer69.xml"/><Relationship Id="rId90" Type="http://schemas.openxmlformats.org/officeDocument/2006/relationships/footer" Target="footer42.xml"/><Relationship Id="rId165" Type="http://schemas.openxmlformats.org/officeDocument/2006/relationships/footer" Target="footer79.xml"/><Relationship Id="rId186" Type="http://schemas.openxmlformats.org/officeDocument/2006/relationships/footer" Target="footer90.xml"/><Relationship Id="rId211" Type="http://schemas.openxmlformats.org/officeDocument/2006/relationships/header" Target="header103.xml"/><Relationship Id="rId232" Type="http://schemas.openxmlformats.org/officeDocument/2006/relationships/footer" Target="footer113.xml"/><Relationship Id="rId253" Type="http://schemas.openxmlformats.org/officeDocument/2006/relationships/header" Target="header124.xml"/><Relationship Id="rId274" Type="http://schemas.openxmlformats.org/officeDocument/2006/relationships/footer" Target="footer134.xml"/><Relationship Id="rId27" Type="http://schemas.openxmlformats.org/officeDocument/2006/relationships/footer" Target="footer10.xml"/><Relationship Id="rId48" Type="http://schemas.openxmlformats.org/officeDocument/2006/relationships/footer" Target="footer21.xml"/><Relationship Id="rId69" Type="http://schemas.openxmlformats.org/officeDocument/2006/relationships/footer" Target="footer31.xml"/><Relationship Id="rId113" Type="http://schemas.openxmlformats.org/officeDocument/2006/relationships/header" Target="header54.xml"/><Relationship Id="rId134" Type="http://schemas.openxmlformats.org/officeDocument/2006/relationships/header" Target="header65.xml"/><Relationship Id="rId80" Type="http://schemas.openxmlformats.org/officeDocument/2006/relationships/header" Target="header38.xml"/><Relationship Id="rId155" Type="http://schemas.openxmlformats.org/officeDocument/2006/relationships/header" Target="header75.xml"/><Relationship Id="rId176" Type="http://schemas.openxmlformats.org/officeDocument/2006/relationships/header" Target="header86.xml"/><Relationship Id="rId197" Type="http://schemas.openxmlformats.org/officeDocument/2006/relationships/header" Target="header96.xml"/><Relationship Id="rId201" Type="http://schemas.openxmlformats.org/officeDocument/2006/relationships/footer" Target="footer97.xml"/><Relationship Id="rId222" Type="http://schemas.openxmlformats.org/officeDocument/2006/relationships/footer" Target="footer108.xml"/><Relationship Id="rId243" Type="http://schemas.openxmlformats.org/officeDocument/2006/relationships/footer" Target="footer118.xml"/><Relationship Id="rId264" Type="http://schemas.openxmlformats.org/officeDocument/2006/relationships/footer" Target="footer129.xml"/><Relationship Id="rId17" Type="http://schemas.openxmlformats.org/officeDocument/2006/relationships/header" Target="header6.xml"/><Relationship Id="rId38" Type="http://schemas.openxmlformats.org/officeDocument/2006/relationships/header" Target="header17.xml"/><Relationship Id="rId59" Type="http://schemas.openxmlformats.org/officeDocument/2006/relationships/header" Target="header27.xml"/><Relationship Id="rId103" Type="http://schemas.openxmlformats.org/officeDocument/2006/relationships/header" Target="header49.xml"/><Relationship Id="rId124" Type="http://schemas.openxmlformats.org/officeDocument/2006/relationships/footer" Target="footer59.xml"/><Relationship Id="rId70" Type="http://schemas.openxmlformats.org/officeDocument/2006/relationships/footer" Target="footer32.xml"/><Relationship Id="rId91" Type="http://schemas.openxmlformats.org/officeDocument/2006/relationships/header" Target="header43.xml"/><Relationship Id="rId145" Type="http://schemas.openxmlformats.org/officeDocument/2006/relationships/header" Target="header70.xml"/><Relationship Id="rId166" Type="http://schemas.openxmlformats.org/officeDocument/2006/relationships/footer" Target="footer80.xml"/><Relationship Id="rId187" Type="http://schemas.openxmlformats.org/officeDocument/2006/relationships/header" Target="header91.xml"/><Relationship Id="rId1" Type="http://schemas.openxmlformats.org/officeDocument/2006/relationships/styles" Target="styles.xml"/><Relationship Id="rId212" Type="http://schemas.openxmlformats.org/officeDocument/2006/relationships/header" Target="header104.xml"/><Relationship Id="rId233" Type="http://schemas.openxmlformats.org/officeDocument/2006/relationships/header" Target="header114.xml"/><Relationship Id="rId254" Type="http://schemas.openxmlformats.org/officeDocument/2006/relationships/header" Target="header125.xml"/><Relationship Id="rId28" Type="http://schemas.openxmlformats.org/officeDocument/2006/relationships/footer" Target="footer11.xml"/><Relationship Id="rId49" Type="http://schemas.openxmlformats.org/officeDocument/2006/relationships/header" Target="header22.xml"/><Relationship Id="rId114" Type="http://schemas.openxmlformats.org/officeDocument/2006/relationships/footer" Target="footer54.xml"/><Relationship Id="rId275" Type="http://schemas.openxmlformats.org/officeDocument/2006/relationships/header" Target="header135.xml"/><Relationship Id="rId60" Type="http://schemas.openxmlformats.org/officeDocument/2006/relationships/footer" Target="footer27.xml"/><Relationship Id="rId81" Type="http://schemas.openxmlformats.org/officeDocument/2006/relationships/footer" Target="footer37.xml"/><Relationship Id="rId135" Type="http://schemas.openxmlformats.org/officeDocument/2006/relationships/footer" Target="footer64.xml"/><Relationship Id="rId156" Type="http://schemas.openxmlformats.org/officeDocument/2006/relationships/footer" Target="footer75.xml"/><Relationship Id="rId177" Type="http://schemas.openxmlformats.org/officeDocument/2006/relationships/footer" Target="footer85.xml"/><Relationship Id="rId198" Type="http://schemas.openxmlformats.org/officeDocument/2006/relationships/footer" Target="footer9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158</Pages>
  <Words>40480</Words>
  <Characters>230741</Characters>
  <Application>Microsoft Office Word</Application>
  <DocSecurity>0</DocSecurity>
  <Lines>1922</Lines>
  <Paragraphs>541</Paragraphs>
  <ScaleCrop>false</ScaleCrop>
  <HeadingPairs>
    <vt:vector size="2" baseType="variant">
      <vt:variant>
        <vt:lpstr>Title</vt:lpstr>
      </vt:variant>
      <vt:variant>
        <vt:i4>1</vt:i4>
      </vt:variant>
    </vt:vector>
  </HeadingPairs>
  <TitlesOfParts>
    <vt:vector size="1" baseType="lpstr">
      <vt:lpstr>9 Fla Jur Civil Rights § 44</vt:lpstr>
    </vt:vector>
  </TitlesOfParts>
  <Company/>
  <LinksUpToDate>false</LinksUpToDate>
  <CharactersWithSpaces>270680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 Fla Jur Civil Rights § 44</dc:title>
  <cp:lastModifiedBy>Schrader, Carly</cp:lastModifiedBy>
  <cp:revision>2</cp:revision>
  <dcterms:created xsi:type="dcterms:W3CDTF">2019-03-24T20:08:00Z</dcterms:created>
  <dcterms:modified xsi:type="dcterms:W3CDTF">2019-03-24T20:08:00Z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85503261</vt:lpwstr>
  </property>
  <property fmtid="{D5CDD505-2E9C-101B-9397-08002B2CF9AE}" pid="3" name="LADocCount">
    <vt:i4>45</vt:i4>
  </property>
  <property fmtid="{D5CDD505-2E9C-101B-9397-08002B2CF9AE}" pid="4" name="UserPermID">
    <vt:lpwstr>urn:user:PA2082528</vt:lpwstr>
  </property>
</Properties>
</file>