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6BA5EB" w14:textId="11FE3E54" w:rsidR="001D7E1E" w:rsidRDefault="006348FC">
      <w:r>
        <w:rPr>
          <w:u w:val="single"/>
        </w:rPr>
        <w:t>Foundation for Land Use Zoning</w:t>
      </w:r>
    </w:p>
    <w:p w14:paraId="2DF83851" w14:textId="51B72DD2" w:rsidR="006348FC" w:rsidRDefault="006348FC" w:rsidP="006348FC">
      <w:pPr>
        <w:pStyle w:val="ListParagraph"/>
        <w:numPr>
          <w:ilvl w:val="0"/>
          <w:numId w:val="1"/>
        </w:numPr>
      </w:pPr>
      <w:proofErr w:type="spellStart"/>
      <w:r>
        <w:rPr>
          <w:u w:val="single"/>
        </w:rPr>
        <w:t>Euclind</w:t>
      </w:r>
      <w:proofErr w:type="spellEnd"/>
      <w:r>
        <w:rPr>
          <w:u w:val="single"/>
        </w:rPr>
        <w:t xml:space="preserve"> v. Ambler Realty</w:t>
      </w:r>
      <w:r>
        <w:t>: upheld constitutionality of zoning as a valid use of the police power against due process and equal protection challenge</w:t>
      </w:r>
    </w:p>
    <w:p w14:paraId="7B65BDB5" w14:textId="3D14197B" w:rsidR="006348FC" w:rsidRDefault="006348FC" w:rsidP="006348FC">
      <w:pPr>
        <w:pStyle w:val="ListParagraph"/>
        <w:numPr>
          <w:ilvl w:val="0"/>
          <w:numId w:val="1"/>
        </w:numPr>
      </w:pPr>
      <w:r>
        <w:rPr>
          <w:u w:val="single"/>
        </w:rPr>
        <w:t>Fed Constitution</w:t>
      </w:r>
    </w:p>
    <w:p w14:paraId="4722470B" w14:textId="02F22671" w:rsidR="006348FC" w:rsidRDefault="006348FC" w:rsidP="006348FC">
      <w:pPr>
        <w:pStyle w:val="ListParagraph"/>
        <w:numPr>
          <w:ilvl w:val="1"/>
          <w:numId w:val="1"/>
        </w:numPr>
      </w:pPr>
      <w:r>
        <w:t>10</w:t>
      </w:r>
      <w:r w:rsidRPr="006348FC">
        <w:rPr>
          <w:vertAlign w:val="superscript"/>
        </w:rPr>
        <w:t>th</w:t>
      </w:r>
      <w:r>
        <w:t xml:space="preserve"> Amendment: The powers not delegated to the US by the Constitution, nor prohibited by it to the states, are reserved to the states, or to the people</w:t>
      </w:r>
    </w:p>
    <w:p w14:paraId="1EB96BF5" w14:textId="6B9535FA" w:rsidR="006348FC" w:rsidRDefault="006348FC" w:rsidP="006348FC">
      <w:pPr>
        <w:pStyle w:val="ListParagraph"/>
        <w:numPr>
          <w:ilvl w:val="0"/>
          <w:numId w:val="1"/>
        </w:numPr>
      </w:pPr>
      <w:r>
        <w:rPr>
          <w:u w:val="single"/>
        </w:rPr>
        <w:t>Florida Constitution</w:t>
      </w:r>
    </w:p>
    <w:p w14:paraId="5644A91C" w14:textId="03C535B9" w:rsidR="006348FC" w:rsidRDefault="006348FC" w:rsidP="006348FC">
      <w:pPr>
        <w:pStyle w:val="ListParagraph"/>
        <w:numPr>
          <w:ilvl w:val="1"/>
          <w:numId w:val="1"/>
        </w:numPr>
      </w:pPr>
      <w:r>
        <w:t>Home Rule provisions under Article 8</w:t>
      </w:r>
    </w:p>
    <w:p w14:paraId="3FAAACDC" w14:textId="453A51D7" w:rsidR="006348FC" w:rsidRPr="006348FC" w:rsidRDefault="006348FC" w:rsidP="006348FC">
      <w:pPr>
        <w:pStyle w:val="ListParagraph"/>
        <w:numPr>
          <w:ilvl w:val="0"/>
          <w:numId w:val="1"/>
        </w:numPr>
      </w:pPr>
      <w:r>
        <w:rPr>
          <w:u w:val="single"/>
        </w:rPr>
        <w:t>Statutes</w:t>
      </w:r>
    </w:p>
    <w:p w14:paraId="69627CD8" w14:textId="06813087" w:rsidR="006348FC" w:rsidRPr="00524089" w:rsidRDefault="006348FC" w:rsidP="006348FC">
      <w:pPr>
        <w:pStyle w:val="ListParagraph"/>
        <w:numPr>
          <w:ilvl w:val="1"/>
          <w:numId w:val="1"/>
        </w:numPr>
      </w:pPr>
      <w:r>
        <w:rPr>
          <w:u w:val="single"/>
        </w:rPr>
        <w:t>Chapter 163 (counties and municipalities)</w:t>
      </w:r>
    </w:p>
    <w:p w14:paraId="252F5BD3" w14:textId="14CF0FDD" w:rsidR="00524089" w:rsidRDefault="00524089" w:rsidP="00524089">
      <w:pPr>
        <w:pStyle w:val="ListParagraph"/>
        <w:numPr>
          <w:ilvl w:val="2"/>
          <w:numId w:val="1"/>
        </w:numPr>
      </w:pPr>
      <w:r>
        <w:t>Authorizes counties and cities to plan for future development and growth</w:t>
      </w:r>
    </w:p>
    <w:p w14:paraId="66A043A3" w14:textId="49FCDD7E" w:rsidR="00524089" w:rsidRDefault="00524089" w:rsidP="00524089">
      <w:pPr>
        <w:pStyle w:val="ListParagraph"/>
        <w:numPr>
          <w:ilvl w:val="2"/>
          <w:numId w:val="1"/>
        </w:numPr>
      </w:pPr>
      <w:r>
        <w:t xml:space="preserve">Adopt and amend comprehensive plans—requires local government to prepare </w:t>
      </w:r>
    </w:p>
    <w:p w14:paraId="3773A225" w14:textId="20885BA4" w:rsidR="00524089" w:rsidRPr="006348FC" w:rsidRDefault="00524089" w:rsidP="00524089">
      <w:pPr>
        <w:pStyle w:val="ListParagraph"/>
        <w:numPr>
          <w:ilvl w:val="2"/>
          <w:numId w:val="1"/>
        </w:numPr>
      </w:pPr>
      <w:r>
        <w:t xml:space="preserve">Implement comprehensive plans through land development </w:t>
      </w:r>
      <w:proofErr w:type="spellStart"/>
      <w:r>
        <w:t>regulaitons</w:t>
      </w:r>
      <w:proofErr w:type="spellEnd"/>
    </w:p>
    <w:p w14:paraId="2F5C5C6D" w14:textId="20B84959" w:rsidR="006348FC" w:rsidRPr="006348FC" w:rsidRDefault="006348FC" w:rsidP="006348FC">
      <w:pPr>
        <w:pStyle w:val="ListParagraph"/>
        <w:numPr>
          <w:ilvl w:val="1"/>
          <w:numId w:val="1"/>
        </w:numPr>
      </w:pPr>
      <w:r>
        <w:rPr>
          <w:u w:val="single"/>
        </w:rPr>
        <w:t>Chapter 125 (Counties)</w:t>
      </w:r>
    </w:p>
    <w:p w14:paraId="58E29434" w14:textId="62FBCB91" w:rsidR="006348FC" w:rsidRDefault="006348FC" w:rsidP="006348FC">
      <w:pPr>
        <w:pStyle w:val="ListParagraph"/>
        <w:numPr>
          <w:ilvl w:val="2"/>
          <w:numId w:val="1"/>
        </w:numPr>
      </w:pPr>
      <w:r>
        <w:t>Authorizes counties to prepare comprehensive plans</w:t>
      </w:r>
    </w:p>
    <w:p w14:paraId="70BD66D8" w14:textId="1AC9A372" w:rsidR="006348FC" w:rsidRDefault="006348FC" w:rsidP="006348FC">
      <w:pPr>
        <w:pStyle w:val="ListParagraph"/>
        <w:numPr>
          <w:ilvl w:val="2"/>
          <w:numId w:val="1"/>
        </w:numPr>
      </w:pPr>
      <w:r>
        <w:t>Authorizes counties to establish, coordinate, and enforce zoning and business regulations necessary for protection of the public</w:t>
      </w:r>
    </w:p>
    <w:p w14:paraId="44900882" w14:textId="7E743496" w:rsidR="006348FC" w:rsidRDefault="006348FC" w:rsidP="006348FC">
      <w:pPr>
        <w:pStyle w:val="ListParagraph"/>
        <w:numPr>
          <w:ilvl w:val="2"/>
          <w:numId w:val="1"/>
        </w:numPr>
      </w:pPr>
      <w:r>
        <w:t>Authorizes county to adopt and enforce building, housing, and other technical codes and regulations</w:t>
      </w:r>
    </w:p>
    <w:p w14:paraId="4B125148" w14:textId="2799236C" w:rsidR="00524089" w:rsidRDefault="00524089" w:rsidP="006348FC">
      <w:pPr>
        <w:pStyle w:val="ListParagraph"/>
        <w:numPr>
          <w:ilvl w:val="2"/>
          <w:numId w:val="1"/>
        </w:numPr>
      </w:pPr>
      <w:r>
        <w:t>Authorizes county to provide for roads, water and sewer systems</w:t>
      </w:r>
    </w:p>
    <w:p w14:paraId="38F0BCA1" w14:textId="448E6E4A" w:rsidR="00524089" w:rsidRDefault="00524089" w:rsidP="00524089">
      <w:r>
        <w:rPr>
          <w:u w:val="single"/>
        </w:rPr>
        <w:t>Comprehensive Planning</w:t>
      </w:r>
    </w:p>
    <w:p w14:paraId="2729E706" w14:textId="400897B4" w:rsidR="00524089" w:rsidRDefault="00524089" w:rsidP="00524089">
      <w:pPr>
        <w:pStyle w:val="ListParagraph"/>
        <w:numPr>
          <w:ilvl w:val="0"/>
          <w:numId w:val="2"/>
        </w:numPr>
      </w:pPr>
      <w:r>
        <w:t>Content</w:t>
      </w:r>
    </w:p>
    <w:p w14:paraId="24B0992D" w14:textId="0BC51E7F" w:rsidR="00524089" w:rsidRDefault="00524089" w:rsidP="00524089">
      <w:pPr>
        <w:pStyle w:val="ListParagraph"/>
        <w:numPr>
          <w:ilvl w:val="1"/>
          <w:numId w:val="2"/>
        </w:numPr>
      </w:pPr>
      <w:r>
        <w:t>Must identify a local planning agency</w:t>
      </w:r>
    </w:p>
    <w:p w14:paraId="242F9733" w14:textId="73D930C1" w:rsidR="00524089" w:rsidRDefault="00524089" w:rsidP="00524089">
      <w:pPr>
        <w:pStyle w:val="ListParagraph"/>
        <w:numPr>
          <w:ilvl w:val="1"/>
          <w:numId w:val="2"/>
        </w:numPr>
      </w:pPr>
      <w:r>
        <w:t xml:space="preserve">Provide for </w:t>
      </w:r>
      <w:proofErr w:type="gramStart"/>
      <w:r>
        <w:t>5 and 10 year</w:t>
      </w:r>
      <w:proofErr w:type="gramEnd"/>
      <w:r>
        <w:t xml:space="preserve"> planning horizon</w:t>
      </w:r>
    </w:p>
    <w:p w14:paraId="6E305BF0" w14:textId="3EE8B19C" w:rsidR="00524089" w:rsidRDefault="00524089" w:rsidP="00524089">
      <w:pPr>
        <w:pStyle w:val="ListParagraph"/>
        <w:numPr>
          <w:ilvl w:val="1"/>
          <w:numId w:val="2"/>
        </w:numPr>
      </w:pPr>
      <w:r>
        <w:t>Elements</w:t>
      </w:r>
    </w:p>
    <w:p w14:paraId="7FF27992" w14:textId="3B07671E" w:rsidR="00524089" w:rsidRDefault="00524089" w:rsidP="00524089">
      <w:pPr>
        <w:pStyle w:val="ListParagraph"/>
        <w:numPr>
          <w:ilvl w:val="2"/>
          <w:numId w:val="2"/>
        </w:numPr>
      </w:pPr>
      <w:r>
        <w:t>Capital improvement element</w:t>
      </w:r>
    </w:p>
    <w:p w14:paraId="260BB1D5" w14:textId="04AA83F8" w:rsidR="00524089" w:rsidRDefault="00A70867" w:rsidP="00524089">
      <w:pPr>
        <w:pStyle w:val="ListParagraph"/>
        <w:numPr>
          <w:ilvl w:val="3"/>
          <w:numId w:val="2"/>
        </w:numPr>
      </w:pPr>
      <w:r>
        <w:t xml:space="preserve">Concurrency: </w:t>
      </w:r>
      <w:r w:rsidR="00524089">
        <w:t>Must set forth minimum levels of service for potable water, wastewater, and drainage</w:t>
      </w:r>
    </w:p>
    <w:p w14:paraId="303112BE" w14:textId="1C957CAA" w:rsidR="00A70867" w:rsidRDefault="00A70867" w:rsidP="00524089">
      <w:pPr>
        <w:pStyle w:val="ListParagraph"/>
        <w:numPr>
          <w:ilvl w:val="3"/>
          <w:numId w:val="2"/>
        </w:numPr>
      </w:pPr>
      <w:r>
        <w:t>May establish levels of service for transportation, schools, and parks</w:t>
      </w:r>
    </w:p>
    <w:p w14:paraId="2DDC48BF" w14:textId="08E71C9E" w:rsidR="00A70867" w:rsidRDefault="00A70867" w:rsidP="00A70867">
      <w:pPr>
        <w:pStyle w:val="ListParagraph"/>
        <w:numPr>
          <w:ilvl w:val="2"/>
          <w:numId w:val="2"/>
        </w:numPr>
      </w:pPr>
      <w:r>
        <w:t>Intergovernmental coordination element</w:t>
      </w:r>
    </w:p>
    <w:p w14:paraId="25419B7D" w14:textId="4F060F15" w:rsidR="00A70867" w:rsidRDefault="00A70867" w:rsidP="00A70867">
      <w:pPr>
        <w:pStyle w:val="ListParagraph"/>
        <w:numPr>
          <w:ilvl w:val="2"/>
          <w:numId w:val="2"/>
        </w:numPr>
      </w:pPr>
      <w:r>
        <w:t xml:space="preserve">Future land use element </w:t>
      </w:r>
    </w:p>
    <w:p w14:paraId="367D70D2" w14:textId="443E42E1" w:rsidR="00A70867" w:rsidRDefault="00A70867" w:rsidP="00A70867">
      <w:pPr>
        <w:pStyle w:val="ListParagraph"/>
        <w:numPr>
          <w:ilvl w:val="3"/>
          <w:numId w:val="2"/>
        </w:numPr>
      </w:pPr>
      <w:r>
        <w:t>Must include distribution for residential, commercial, industrial, agricultural, recreational, conservation and public uses</w:t>
      </w:r>
    </w:p>
    <w:p w14:paraId="23987819" w14:textId="5B5D817A" w:rsidR="00A70867" w:rsidRDefault="00A70867" w:rsidP="00A70867">
      <w:pPr>
        <w:pStyle w:val="ListParagraph"/>
        <w:numPr>
          <w:ilvl w:val="3"/>
          <w:numId w:val="2"/>
        </w:numPr>
      </w:pPr>
      <w:r>
        <w:t>Should provide appropriate allocation of land to ensure balance of uses to foster vibrant viable communities and economic development opportunities</w:t>
      </w:r>
    </w:p>
    <w:p w14:paraId="2D3D193C" w14:textId="330A23DA" w:rsidR="00A70867" w:rsidRDefault="00A70867" w:rsidP="00A70867">
      <w:pPr>
        <w:pStyle w:val="ListParagraph"/>
        <w:numPr>
          <w:ilvl w:val="2"/>
          <w:numId w:val="2"/>
        </w:numPr>
      </w:pPr>
      <w:r>
        <w:t>Traffic circulation element (transportation element)</w:t>
      </w:r>
    </w:p>
    <w:p w14:paraId="270E31EC" w14:textId="7613908C" w:rsidR="00A70867" w:rsidRDefault="00A70867" w:rsidP="00A70867">
      <w:pPr>
        <w:pStyle w:val="ListParagraph"/>
        <w:numPr>
          <w:ilvl w:val="2"/>
          <w:numId w:val="2"/>
        </w:numPr>
      </w:pPr>
      <w:r>
        <w:t>General sewer, solid waste, drainage and potable water and natural groundwater aquifer recharge element</w:t>
      </w:r>
    </w:p>
    <w:p w14:paraId="679D4B5C" w14:textId="0A8E7BDD" w:rsidR="00A70867" w:rsidRDefault="00A70867" w:rsidP="00A70867">
      <w:pPr>
        <w:pStyle w:val="ListParagraph"/>
        <w:numPr>
          <w:ilvl w:val="2"/>
          <w:numId w:val="2"/>
        </w:numPr>
      </w:pPr>
      <w:r>
        <w:t>Recreation and open space</w:t>
      </w:r>
    </w:p>
    <w:p w14:paraId="173293A5" w14:textId="130770FA" w:rsidR="00A70867" w:rsidRDefault="00A70867" w:rsidP="00A70867">
      <w:pPr>
        <w:pStyle w:val="ListParagraph"/>
        <w:numPr>
          <w:ilvl w:val="2"/>
          <w:numId w:val="2"/>
        </w:numPr>
      </w:pPr>
      <w:r>
        <w:t xml:space="preserve"> Conservation</w:t>
      </w:r>
    </w:p>
    <w:p w14:paraId="1F85F067" w14:textId="46CEA770" w:rsidR="00A70867" w:rsidRDefault="00A70867" w:rsidP="00A70867">
      <w:pPr>
        <w:pStyle w:val="ListParagraph"/>
        <w:numPr>
          <w:ilvl w:val="2"/>
          <w:numId w:val="2"/>
        </w:numPr>
      </w:pPr>
      <w:r>
        <w:t>Housing element—provide for creation and preservation of affordable housing</w:t>
      </w:r>
    </w:p>
    <w:p w14:paraId="00FA5AF1" w14:textId="15B73ED5" w:rsidR="00A70867" w:rsidRDefault="00A70867" w:rsidP="00A70867">
      <w:pPr>
        <w:pStyle w:val="ListParagraph"/>
        <w:numPr>
          <w:ilvl w:val="2"/>
          <w:numId w:val="2"/>
        </w:numPr>
      </w:pPr>
      <w:r>
        <w:lastRenderedPageBreak/>
        <w:t xml:space="preserve">Coastal Management element for coastal </w:t>
      </w:r>
      <w:proofErr w:type="spellStart"/>
      <w:r>
        <w:t>govenrments</w:t>
      </w:r>
      <w:proofErr w:type="spellEnd"/>
    </w:p>
    <w:p w14:paraId="31F21FD6" w14:textId="5E87FE3F" w:rsidR="00A70867" w:rsidRDefault="00A70867" w:rsidP="00A70867">
      <w:pPr>
        <w:pStyle w:val="ListParagraph"/>
        <w:numPr>
          <w:ilvl w:val="2"/>
          <w:numId w:val="2"/>
        </w:numPr>
      </w:pPr>
      <w:r>
        <w:t>Optional:</w:t>
      </w:r>
    </w:p>
    <w:p w14:paraId="2231AFE6" w14:textId="177F9438" w:rsidR="00A70867" w:rsidRDefault="00A70867" w:rsidP="00A70867">
      <w:pPr>
        <w:pStyle w:val="ListParagraph"/>
        <w:numPr>
          <w:ilvl w:val="3"/>
          <w:numId w:val="2"/>
        </w:numPr>
      </w:pPr>
      <w:r>
        <w:t>Community Design, safety, Historic preservation and economic elements</w:t>
      </w:r>
    </w:p>
    <w:p w14:paraId="5A4F482E" w14:textId="7C4E9871" w:rsidR="00A70867" w:rsidRDefault="00A70867" w:rsidP="00A70867">
      <w:pPr>
        <w:pStyle w:val="ListParagraph"/>
        <w:numPr>
          <w:ilvl w:val="1"/>
          <w:numId w:val="2"/>
        </w:numPr>
      </w:pPr>
      <w:r>
        <w:t>Adoption and amendment:</w:t>
      </w:r>
    </w:p>
    <w:p w14:paraId="6E3B229B" w14:textId="251A8FA2" w:rsidR="00366F9E" w:rsidRDefault="00366F9E" w:rsidP="00366F9E">
      <w:pPr>
        <w:pStyle w:val="ListParagraph"/>
        <w:numPr>
          <w:ilvl w:val="2"/>
          <w:numId w:val="2"/>
        </w:numPr>
      </w:pPr>
      <w:r>
        <w:t xml:space="preserve">Standard of review: </w:t>
      </w:r>
      <w:proofErr w:type="gramStart"/>
      <w:r>
        <w:t>fairly debatable</w:t>
      </w:r>
      <w:proofErr w:type="gramEnd"/>
    </w:p>
    <w:p w14:paraId="07050EE6" w14:textId="0C736EEC" w:rsidR="00897BDF" w:rsidRDefault="00897BDF" w:rsidP="00897BDF">
      <w:pPr>
        <w:pStyle w:val="ListParagraph"/>
        <w:numPr>
          <w:ilvl w:val="2"/>
          <w:numId w:val="2"/>
        </w:numPr>
      </w:pPr>
      <w:r>
        <w:t>Local government must reevaluate its comprehensive plan every seven years to reflect changes in statute</w:t>
      </w:r>
    </w:p>
    <w:p w14:paraId="51B7AD34" w14:textId="674B5982" w:rsidR="00A70867" w:rsidRDefault="00A70867" w:rsidP="00A70867">
      <w:pPr>
        <w:pStyle w:val="ListParagraph"/>
        <w:numPr>
          <w:ilvl w:val="2"/>
          <w:numId w:val="2"/>
        </w:numPr>
      </w:pPr>
      <w:r>
        <w:t>Expedited state review:</w:t>
      </w:r>
    </w:p>
    <w:p w14:paraId="50B5D0F4" w14:textId="21DE69A3" w:rsidR="00A70867" w:rsidRDefault="00D01966" w:rsidP="00A70867">
      <w:pPr>
        <w:pStyle w:val="ListParagraph"/>
        <w:numPr>
          <w:ilvl w:val="3"/>
          <w:numId w:val="2"/>
        </w:numPr>
      </w:pPr>
      <w:r>
        <w:t>Does not apply to: (must follow state coordinated review process)</w:t>
      </w:r>
      <w:r>
        <w:tab/>
      </w:r>
    </w:p>
    <w:p w14:paraId="7896DA60" w14:textId="538D0F9B" w:rsidR="00D01966" w:rsidRDefault="00D01966" w:rsidP="00D01966">
      <w:pPr>
        <w:pStyle w:val="ListParagraph"/>
        <w:numPr>
          <w:ilvl w:val="4"/>
          <w:numId w:val="2"/>
        </w:numPr>
      </w:pPr>
      <w:r>
        <w:t>Areas of critical state concern</w:t>
      </w:r>
    </w:p>
    <w:p w14:paraId="659C966E" w14:textId="61E328D4" w:rsidR="00D01966" w:rsidRDefault="00D01966" w:rsidP="00D01966">
      <w:pPr>
        <w:pStyle w:val="ListParagraph"/>
        <w:numPr>
          <w:ilvl w:val="4"/>
          <w:numId w:val="2"/>
        </w:numPr>
      </w:pPr>
      <w:r>
        <w:t>Rural land stewardship</w:t>
      </w:r>
    </w:p>
    <w:p w14:paraId="62A23025" w14:textId="2D9EC00F" w:rsidR="00D01966" w:rsidRDefault="00D01966" w:rsidP="00D01966">
      <w:pPr>
        <w:pStyle w:val="ListParagraph"/>
        <w:numPr>
          <w:ilvl w:val="4"/>
          <w:numId w:val="2"/>
        </w:numPr>
      </w:pPr>
      <w:r>
        <w:t>Sector plan</w:t>
      </w:r>
    </w:p>
    <w:p w14:paraId="701C579B" w14:textId="77777777" w:rsidR="00D01966" w:rsidRDefault="00D01966" w:rsidP="00D01966">
      <w:pPr>
        <w:pStyle w:val="ListParagraph"/>
        <w:numPr>
          <w:ilvl w:val="4"/>
          <w:numId w:val="2"/>
        </w:numPr>
      </w:pPr>
      <w:r>
        <w:t xml:space="preserve">Update plans based on EAR report or </w:t>
      </w:r>
    </w:p>
    <w:p w14:paraId="3E3ACD60" w14:textId="0A59BCF0" w:rsidR="00D01966" w:rsidRDefault="00D01966" w:rsidP="00D01966">
      <w:pPr>
        <w:pStyle w:val="ListParagraph"/>
        <w:numPr>
          <w:ilvl w:val="4"/>
          <w:numId w:val="2"/>
        </w:numPr>
      </w:pPr>
      <w:r>
        <w:t>that create a new municipality</w:t>
      </w:r>
    </w:p>
    <w:p w14:paraId="2FB1FEC2" w14:textId="591F7AF8" w:rsidR="00D01966" w:rsidRDefault="00D01966" w:rsidP="00D01966">
      <w:pPr>
        <w:pStyle w:val="ListParagraph"/>
        <w:numPr>
          <w:ilvl w:val="3"/>
          <w:numId w:val="2"/>
        </w:numPr>
      </w:pPr>
      <w:proofErr w:type="gramStart"/>
      <w:r>
        <w:t>Also</w:t>
      </w:r>
      <w:proofErr w:type="gramEnd"/>
      <w:r>
        <w:t xml:space="preserve"> separate process for small areas plan amendments affecting 10 acres or smaller.</w:t>
      </w:r>
    </w:p>
    <w:p w14:paraId="26BF8E8D" w14:textId="053BAB1C" w:rsidR="00D01966" w:rsidRDefault="00D01966" w:rsidP="00D01966">
      <w:pPr>
        <w:pStyle w:val="ListParagraph"/>
        <w:numPr>
          <w:ilvl w:val="3"/>
          <w:numId w:val="2"/>
        </w:numPr>
      </w:pPr>
      <w:r>
        <w:t>Process:</w:t>
      </w:r>
    </w:p>
    <w:p w14:paraId="2D6C1DE2" w14:textId="77A5607B" w:rsidR="00D01966" w:rsidRDefault="00D01966" w:rsidP="00D01966">
      <w:pPr>
        <w:pStyle w:val="ListParagraph"/>
        <w:numPr>
          <w:ilvl w:val="4"/>
          <w:numId w:val="2"/>
        </w:numPr>
      </w:pPr>
      <w:r>
        <w:t>Transmittal hearing</w:t>
      </w:r>
    </w:p>
    <w:p w14:paraId="1E734A8B" w14:textId="41705367" w:rsidR="00D01966" w:rsidRDefault="00D01966" w:rsidP="00D01966">
      <w:pPr>
        <w:pStyle w:val="ListParagraph"/>
        <w:numPr>
          <w:ilvl w:val="4"/>
          <w:numId w:val="2"/>
        </w:numPr>
      </w:pPr>
      <w:r>
        <w:t>Sends amendment to State Land Planning Agency and reviewing agencies within 10 days</w:t>
      </w:r>
    </w:p>
    <w:p w14:paraId="0D3C72CF" w14:textId="58B39EB2" w:rsidR="00D01966" w:rsidRDefault="00D01966" w:rsidP="00D01966">
      <w:pPr>
        <w:pStyle w:val="ListParagraph"/>
        <w:numPr>
          <w:ilvl w:val="4"/>
          <w:numId w:val="2"/>
        </w:numPr>
      </w:pPr>
      <w:r>
        <w:t>Comments to local government within 30 days</w:t>
      </w:r>
    </w:p>
    <w:p w14:paraId="7DDBF292" w14:textId="33B92056" w:rsidR="00D01966" w:rsidRDefault="00D01966" w:rsidP="00D01966">
      <w:pPr>
        <w:pStyle w:val="ListParagraph"/>
        <w:numPr>
          <w:ilvl w:val="4"/>
          <w:numId w:val="2"/>
        </w:numPr>
      </w:pPr>
      <w:r>
        <w:t>Adoption hearing within 180 days of receipt of comments</w:t>
      </w:r>
    </w:p>
    <w:p w14:paraId="601A4840" w14:textId="27BD5410" w:rsidR="00D01966" w:rsidRDefault="00D01966" w:rsidP="00D01966">
      <w:pPr>
        <w:pStyle w:val="ListParagraph"/>
        <w:numPr>
          <w:ilvl w:val="4"/>
          <w:numId w:val="2"/>
        </w:numPr>
      </w:pPr>
      <w:r>
        <w:t>Copy of adopted plan to state land planning agency</w:t>
      </w:r>
    </w:p>
    <w:p w14:paraId="254EA6BB" w14:textId="087F7A50" w:rsidR="00D01966" w:rsidRDefault="00D01966" w:rsidP="00D01966">
      <w:pPr>
        <w:pStyle w:val="ListParagraph"/>
        <w:numPr>
          <w:ilvl w:val="5"/>
          <w:numId w:val="2"/>
        </w:numPr>
      </w:pPr>
      <w:r>
        <w:t>Agency may notify is incomplete within 5 working days</w:t>
      </w:r>
    </w:p>
    <w:p w14:paraId="1D8416C5" w14:textId="1D09E816" w:rsidR="00D01966" w:rsidRDefault="00D01966" w:rsidP="00D01966">
      <w:pPr>
        <w:pStyle w:val="ListParagraph"/>
        <w:numPr>
          <w:ilvl w:val="4"/>
          <w:numId w:val="2"/>
        </w:numPr>
      </w:pPr>
      <w:r>
        <w:t>Aggrieved or adversely affected person (who must have adverse interest which must exceed in degree the general interest of the community) can file a petition within 30 days</w:t>
      </w:r>
      <w:r w:rsidR="00366F9E">
        <w:t xml:space="preserve"> with DOAH</w:t>
      </w:r>
    </w:p>
    <w:p w14:paraId="20194C91" w14:textId="38DF2F8D" w:rsidR="00366F9E" w:rsidRDefault="00366F9E" w:rsidP="00366F9E">
      <w:pPr>
        <w:pStyle w:val="ListParagraph"/>
        <w:numPr>
          <w:ilvl w:val="5"/>
          <w:numId w:val="2"/>
        </w:numPr>
      </w:pPr>
      <w:r>
        <w:t>Person who does not live or own property in jurisdiction but only conducts some business activities does not have standing</w:t>
      </w:r>
    </w:p>
    <w:p w14:paraId="652FF868" w14:textId="403613A3" w:rsidR="00366F9E" w:rsidRDefault="00366F9E" w:rsidP="00366F9E">
      <w:pPr>
        <w:pStyle w:val="ListParagraph"/>
        <w:numPr>
          <w:ilvl w:val="4"/>
          <w:numId w:val="2"/>
        </w:numPr>
      </w:pPr>
      <w:r>
        <w:t>State land planning agency may challenge within 30 days</w:t>
      </w:r>
    </w:p>
    <w:p w14:paraId="759C2B0E" w14:textId="5A517DEE" w:rsidR="00366F9E" w:rsidRDefault="00366F9E" w:rsidP="00366F9E">
      <w:pPr>
        <w:pStyle w:val="ListParagraph"/>
        <w:numPr>
          <w:ilvl w:val="4"/>
          <w:numId w:val="2"/>
        </w:numPr>
      </w:pPr>
      <w:r>
        <w:t>DOAH issues recommended order of in compliance, or not incompliance</w:t>
      </w:r>
    </w:p>
    <w:p w14:paraId="5CA528F0" w14:textId="29EB9EEA" w:rsidR="00366F9E" w:rsidRDefault="00366F9E" w:rsidP="00366F9E">
      <w:pPr>
        <w:pStyle w:val="ListParagraph"/>
        <w:numPr>
          <w:ilvl w:val="4"/>
          <w:numId w:val="2"/>
        </w:numPr>
      </w:pPr>
      <w:r>
        <w:t>If “in compliance”</w:t>
      </w:r>
    </w:p>
    <w:p w14:paraId="4F3C3400" w14:textId="69A5B343" w:rsidR="00366F9E" w:rsidRDefault="00366F9E" w:rsidP="00366F9E">
      <w:pPr>
        <w:pStyle w:val="ListParagraph"/>
        <w:numPr>
          <w:ilvl w:val="5"/>
          <w:numId w:val="2"/>
        </w:numPr>
      </w:pPr>
      <w:r>
        <w:t>Goes to state land planning agency who either issues final order concurring, or sends to Administration Commission for final action</w:t>
      </w:r>
    </w:p>
    <w:p w14:paraId="14DB0DE0" w14:textId="545BBDEE" w:rsidR="00366F9E" w:rsidRDefault="00366F9E" w:rsidP="00366F9E">
      <w:pPr>
        <w:pStyle w:val="ListParagraph"/>
        <w:numPr>
          <w:ilvl w:val="4"/>
          <w:numId w:val="2"/>
        </w:numPr>
      </w:pPr>
      <w:r>
        <w:t>If “not in compliance”</w:t>
      </w:r>
    </w:p>
    <w:p w14:paraId="5E924653" w14:textId="4A20B355" w:rsidR="00366F9E" w:rsidRDefault="00366F9E" w:rsidP="00366F9E">
      <w:pPr>
        <w:pStyle w:val="ListParagraph"/>
        <w:numPr>
          <w:ilvl w:val="5"/>
          <w:numId w:val="2"/>
        </w:numPr>
      </w:pPr>
      <w:r>
        <w:t>Goes to Administration Commission for final Order</w:t>
      </w:r>
    </w:p>
    <w:p w14:paraId="638C98C5" w14:textId="07155B33" w:rsidR="00366F9E" w:rsidRDefault="00366F9E" w:rsidP="00366F9E">
      <w:pPr>
        <w:pStyle w:val="ListParagraph"/>
        <w:numPr>
          <w:ilvl w:val="4"/>
          <w:numId w:val="2"/>
        </w:numPr>
      </w:pPr>
      <w:r>
        <w:t>Determination by agency shall be expeditiously, and if no action taken within 90 days, RO shall be final unless the parties agree to extension</w:t>
      </w:r>
    </w:p>
    <w:p w14:paraId="5958619C" w14:textId="204FA72A" w:rsidR="00366F9E" w:rsidRDefault="00366F9E" w:rsidP="00366F9E">
      <w:pPr>
        <w:pStyle w:val="ListParagraph"/>
        <w:numPr>
          <w:ilvl w:val="4"/>
          <w:numId w:val="2"/>
        </w:numPr>
      </w:pPr>
      <w:r>
        <w:lastRenderedPageBreak/>
        <w:t>If not incompliance, administration commission may impose penalties, such as infrastructure funding or eligibility for receipt of grants</w:t>
      </w:r>
    </w:p>
    <w:p w14:paraId="2ACCABD5" w14:textId="5706C819" w:rsidR="00366F9E" w:rsidRDefault="00366F9E" w:rsidP="00366F9E">
      <w:pPr>
        <w:pStyle w:val="ListParagraph"/>
        <w:numPr>
          <w:ilvl w:val="2"/>
          <w:numId w:val="2"/>
        </w:numPr>
      </w:pPr>
      <w:r>
        <w:t>Small Area Plan Amendment</w:t>
      </w:r>
    </w:p>
    <w:p w14:paraId="3A37560D" w14:textId="37DF35D7" w:rsidR="00366F9E" w:rsidRDefault="00366F9E" w:rsidP="00366F9E">
      <w:pPr>
        <w:pStyle w:val="ListParagraph"/>
        <w:numPr>
          <w:ilvl w:val="3"/>
          <w:numId w:val="2"/>
        </w:numPr>
      </w:pPr>
      <w:r>
        <w:t>10 acres or less (or 20 acres for sites within rural areas of critical economic concern)</w:t>
      </w:r>
    </w:p>
    <w:p w14:paraId="09213A39" w14:textId="0BE77AE1" w:rsidR="00366F9E" w:rsidRDefault="00366F9E" w:rsidP="00366F9E">
      <w:pPr>
        <w:pStyle w:val="ListParagraph"/>
        <w:numPr>
          <w:ilvl w:val="3"/>
          <w:numId w:val="2"/>
        </w:numPr>
      </w:pPr>
      <w:r>
        <w:t>No transmittal hearing required</w:t>
      </w:r>
    </w:p>
    <w:p w14:paraId="4A61CF32" w14:textId="27733100" w:rsidR="00366F9E" w:rsidRDefault="00366F9E" w:rsidP="00366F9E">
      <w:pPr>
        <w:pStyle w:val="ListParagraph"/>
        <w:numPr>
          <w:ilvl w:val="3"/>
          <w:numId w:val="2"/>
        </w:numPr>
      </w:pPr>
      <w:r>
        <w:t>Affected party May challenge to DOAH within 30 days; Deo cannot intervene</w:t>
      </w:r>
    </w:p>
    <w:p w14:paraId="092B97B5" w14:textId="34FA0E29" w:rsidR="00366F9E" w:rsidRDefault="00366F9E" w:rsidP="00366F9E">
      <w:pPr>
        <w:pStyle w:val="ListParagraph"/>
        <w:numPr>
          <w:ilvl w:val="3"/>
          <w:numId w:val="2"/>
        </w:numPr>
      </w:pPr>
      <w:r>
        <w:t>Effective 31 days after adopted unless challenged</w:t>
      </w:r>
    </w:p>
    <w:p w14:paraId="77FDFF87" w14:textId="0C7B7365" w:rsidR="00366F9E" w:rsidRDefault="00366F9E" w:rsidP="00366F9E">
      <w:pPr>
        <w:pStyle w:val="ListParagraph"/>
        <w:numPr>
          <w:ilvl w:val="2"/>
          <w:numId w:val="2"/>
        </w:numPr>
      </w:pPr>
      <w:r>
        <w:t>State Coordinate Review process</w:t>
      </w:r>
    </w:p>
    <w:p w14:paraId="77069778" w14:textId="3FBB14DF" w:rsidR="00366F9E" w:rsidRDefault="00366F9E" w:rsidP="00366F9E">
      <w:pPr>
        <w:pStyle w:val="ListParagraph"/>
        <w:numPr>
          <w:ilvl w:val="3"/>
          <w:numId w:val="2"/>
        </w:numPr>
      </w:pPr>
      <w:r>
        <w:t>Differences in process from State Expedited Review</w:t>
      </w:r>
    </w:p>
    <w:p w14:paraId="071C724D" w14:textId="1C401BFE" w:rsidR="00366F9E" w:rsidRDefault="00366F9E" w:rsidP="00366F9E">
      <w:pPr>
        <w:pStyle w:val="ListParagraph"/>
        <w:numPr>
          <w:ilvl w:val="4"/>
          <w:numId w:val="2"/>
        </w:numPr>
      </w:pPr>
      <w:r>
        <w:t>At comment period, DEO issues ORC (objections, recommendations, and comments) report whether in compliance, and whether will impact important state resources</w:t>
      </w:r>
    </w:p>
    <w:p w14:paraId="627EAD0C" w14:textId="67EFF758" w:rsidR="00366F9E" w:rsidRDefault="00366F9E" w:rsidP="00366F9E">
      <w:pPr>
        <w:pStyle w:val="ListParagraph"/>
        <w:numPr>
          <w:ilvl w:val="4"/>
          <w:numId w:val="2"/>
        </w:numPr>
      </w:pPr>
      <w:r>
        <w:t>After adopting hearing, Agency has 45 days to issue notice of intent on agency’s website (not newspaper)</w:t>
      </w:r>
    </w:p>
    <w:p w14:paraId="7BF0E459" w14:textId="36E94B61" w:rsidR="00366F9E" w:rsidRDefault="00366F9E" w:rsidP="00366F9E">
      <w:pPr>
        <w:pStyle w:val="ListParagraph"/>
        <w:numPr>
          <w:ilvl w:val="4"/>
          <w:numId w:val="2"/>
        </w:numPr>
      </w:pPr>
      <w:r>
        <w:t>Plan amendment goes into effect upon issuance of notice of intent unless challenged</w:t>
      </w:r>
    </w:p>
    <w:p w14:paraId="2EFD92A5" w14:textId="7EB5C636" w:rsidR="00366F9E" w:rsidRDefault="00366F9E" w:rsidP="00366F9E">
      <w:pPr>
        <w:pStyle w:val="ListParagraph"/>
        <w:numPr>
          <w:ilvl w:val="4"/>
          <w:numId w:val="2"/>
        </w:numPr>
      </w:pPr>
      <w:r>
        <w:t>Affected persons and Agency may file a petition</w:t>
      </w:r>
    </w:p>
    <w:p w14:paraId="1E81F63D" w14:textId="63513FFA" w:rsidR="00897BDF" w:rsidRDefault="00897BDF" w:rsidP="00897BDF">
      <w:pPr>
        <w:pStyle w:val="ListParagraph"/>
        <w:numPr>
          <w:ilvl w:val="5"/>
          <w:numId w:val="2"/>
        </w:numPr>
      </w:pPr>
      <w:r>
        <w:t>Agency challenge is limited to comments provided after transmittal</w:t>
      </w:r>
    </w:p>
    <w:p w14:paraId="3F10553A" w14:textId="16DE6772" w:rsidR="00897BDF" w:rsidRDefault="00897BDF" w:rsidP="00897BDF">
      <w:pPr>
        <w:pStyle w:val="ListParagraph"/>
        <w:numPr>
          <w:ilvl w:val="2"/>
          <w:numId w:val="2"/>
        </w:numPr>
      </w:pPr>
      <w:r>
        <w:t>Sector Plans</w:t>
      </w:r>
    </w:p>
    <w:p w14:paraId="6D332C8B" w14:textId="5AFEABCE" w:rsidR="00897BDF" w:rsidRDefault="00897BDF" w:rsidP="00897BDF">
      <w:pPr>
        <w:pStyle w:val="ListParagraph"/>
        <w:numPr>
          <w:ilvl w:val="3"/>
          <w:numId w:val="2"/>
        </w:numPr>
      </w:pPr>
      <w:r>
        <w:t>For areas of at least 5000 acres</w:t>
      </w:r>
    </w:p>
    <w:p w14:paraId="7711F4AB" w14:textId="2FC25F6E" w:rsidR="00897BDF" w:rsidRDefault="00897BDF" w:rsidP="00897BDF">
      <w:pPr>
        <w:pStyle w:val="ListParagraph"/>
        <w:numPr>
          <w:ilvl w:val="3"/>
          <w:numId w:val="2"/>
        </w:numPr>
      </w:pPr>
      <w:r>
        <w:t>Shall emphasize urban form, protect regional resources, and protect public facilities</w:t>
      </w:r>
    </w:p>
    <w:p w14:paraId="4ED3BD60" w14:textId="0FFE6533" w:rsidR="00897BDF" w:rsidRDefault="00897BDF" w:rsidP="00897BDF">
      <w:pPr>
        <w:pStyle w:val="ListParagraph"/>
        <w:numPr>
          <w:ilvl w:val="3"/>
          <w:numId w:val="2"/>
        </w:numPr>
      </w:pPr>
      <w:r>
        <w:t>Regional planning council is required to have scoping meeting and make recommendations to agency and local government</w:t>
      </w:r>
    </w:p>
    <w:p w14:paraId="2D7D0FE6" w14:textId="0D968040" w:rsidR="00897BDF" w:rsidRDefault="00897BDF" w:rsidP="00897BDF">
      <w:pPr>
        <w:pStyle w:val="ListParagraph"/>
        <w:numPr>
          <w:ilvl w:val="3"/>
          <w:numId w:val="2"/>
        </w:numPr>
      </w:pPr>
      <w:r>
        <w:t>Must include long term master plan and development order approving tow or more detailed area plans</w:t>
      </w:r>
    </w:p>
    <w:p w14:paraId="61C2DBCF" w14:textId="355ACEAA" w:rsidR="00897BDF" w:rsidRDefault="00897BDF" w:rsidP="00897BDF">
      <w:pPr>
        <w:pStyle w:val="ListParagraph"/>
        <w:numPr>
          <w:ilvl w:val="2"/>
          <w:numId w:val="2"/>
        </w:numPr>
      </w:pPr>
      <w:r>
        <w:t>Military installations</w:t>
      </w:r>
    </w:p>
    <w:p w14:paraId="77B72ACB" w14:textId="43731A64" w:rsidR="00897BDF" w:rsidRDefault="00897BDF" w:rsidP="00897BDF">
      <w:pPr>
        <w:pStyle w:val="ListParagraph"/>
        <w:numPr>
          <w:ilvl w:val="3"/>
          <w:numId w:val="2"/>
        </w:numPr>
      </w:pPr>
      <w:r>
        <w:t xml:space="preserve">For governments with these, must transmit proposed comprehensive plans for review and comment to commanding officer if the amendment would affect the intensity or density of use </w:t>
      </w:r>
      <w:proofErr w:type="gramStart"/>
      <w:r>
        <w:t>in close proximity to</w:t>
      </w:r>
      <w:proofErr w:type="gramEnd"/>
      <w:r>
        <w:t xml:space="preserve"> installation</w:t>
      </w:r>
    </w:p>
    <w:p w14:paraId="31C8532F" w14:textId="22662F23" w:rsidR="00897BDF" w:rsidRDefault="00897BDF" w:rsidP="00897BDF">
      <w:pPr>
        <w:pStyle w:val="ListParagraph"/>
        <w:numPr>
          <w:ilvl w:val="1"/>
          <w:numId w:val="2"/>
        </w:numPr>
      </w:pPr>
      <w:r>
        <w:t>Effect of adoption:</w:t>
      </w:r>
    </w:p>
    <w:p w14:paraId="452B1EAB" w14:textId="46FD223B" w:rsidR="00897BDF" w:rsidRDefault="00897BDF" w:rsidP="00897BDF">
      <w:pPr>
        <w:pStyle w:val="ListParagraph"/>
        <w:numPr>
          <w:ilvl w:val="2"/>
          <w:numId w:val="2"/>
        </w:numPr>
      </w:pPr>
      <w:r>
        <w:t xml:space="preserve">All elements must be strictly </w:t>
      </w:r>
      <w:proofErr w:type="gramStart"/>
      <w:r>
        <w:t>applied</w:t>
      </w:r>
      <w:proofErr w:type="gramEnd"/>
      <w:r>
        <w:t xml:space="preserve"> and compliance of other land use and zoning regulations and project approvals are reviewed on basis of strict scrutiny</w:t>
      </w:r>
    </w:p>
    <w:p w14:paraId="78171709" w14:textId="0225FA08" w:rsidR="00897BDF" w:rsidRDefault="00897BDF" w:rsidP="00897BDF">
      <w:pPr>
        <w:rPr>
          <w:u w:val="single"/>
        </w:rPr>
      </w:pPr>
    </w:p>
    <w:p w14:paraId="05F5ADD2" w14:textId="11E88EE3" w:rsidR="00897BDF" w:rsidRDefault="00897BDF" w:rsidP="00897BDF">
      <w:r>
        <w:rPr>
          <w:u w:val="single"/>
        </w:rPr>
        <w:t>Land Development Regulations</w:t>
      </w:r>
    </w:p>
    <w:p w14:paraId="21BE457A" w14:textId="32A59202" w:rsidR="00897BDF" w:rsidRDefault="00897BDF" w:rsidP="00897BDF">
      <w:pPr>
        <w:pStyle w:val="ListParagraph"/>
        <w:numPr>
          <w:ilvl w:val="0"/>
          <w:numId w:val="3"/>
        </w:numPr>
      </w:pPr>
      <w:r>
        <w:t>Must be consistent with plan</w:t>
      </w:r>
    </w:p>
    <w:p w14:paraId="14DF2986" w14:textId="1AFADBA1" w:rsidR="00897BDF" w:rsidRDefault="00897BDF" w:rsidP="00897BDF">
      <w:pPr>
        <w:pStyle w:val="ListParagraph"/>
        <w:numPr>
          <w:ilvl w:val="0"/>
          <w:numId w:val="3"/>
        </w:numPr>
      </w:pPr>
      <w:r>
        <w:t>Minimum requirements:</w:t>
      </w:r>
    </w:p>
    <w:p w14:paraId="24C85D1F" w14:textId="4C8EDBBB" w:rsidR="00897BDF" w:rsidRDefault="00897BDF" w:rsidP="00897BDF">
      <w:pPr>
        <w:pStyle w:val="ListParagraph"/>
        <w:numPr>
          <w:ilvl w:val="1"/>
          <w:numId w:val="3"/>
        </w:numPr>
      </w:pPr>
      <w:r>
        <w:lastRenderedPageBreak/>
        <w:t>Regulate subdivision of land</w:t>
      </w:r>
    </w:p>
    <w:p w14:paraId="1F907033" w14:textId="655BCDB2" w:rsidR="00897BDF" w:rsidRDefault="00897BDF" w:rsidP="00897BDF">
      <w:pPr>
        <w:pStyle w:val="ListParagraph"/>
        <w:numPr>
          <w:ilvl w:val="1"/>
          <w:numId w:val="3"/>
        </w:numPr>
      </w:pPr>
      <w:r>
        <w:t xml:space="preserve">Regulate use of land and </w:t>
      </w:r>
      <w:proofErr w:type="gramStart"/>
      <w:r>
        <w:t>insure</w:t>
      </w:r>
      <w:proofErr w:type="gramEnd"/>
      <w:r>
        <w:t xml:space="preserve"> compatibility and provide open space</w:t>
      </w:r>
    </w:p>
    <w:p w14:paraId="0DEF1516" w14:textId="7DF1D90A" w:rsidR="00897BDF" w:rsidRDefault="00897BDF" w:rsidP="00897BDF">
      <w:pPr>
        <w:pStyle w:val="ListParagraph"/>
        <w:numPr>
          <w:ilvl w:val="1"/>
          <w:numId w:val="3"/>
        </w:numPr>
      </w:pPr>
      <w:r>
        <w:t>Provide for potable water well fields</w:t>
      </w:r>
    </w:p>
    <w:p w14:paraId="42204D91" w14:textId="506942DD" w:rsidR="00897BDF" w:rsidRDefault="00897BDF" w:rsidP="00897BDF">
      <w:pPr>
        <w:pStyle w:val="ListParagraph"/>
        <w:numPr>
          <w:ilvl w:val="1"/>
          <w:numId w:val="3"/>
        </w:numPr>
      </w:pPr>
      <w:r>
        <w:t>Regulate areas subject to flooding and provide drainage and stormwater management</w:t>
      </w:r>
    </w:p>
    <w:p w14:paraId="7136F711" w14:textId="0956615B" w:rsidR="00897BDF" w:rsidRDefault="00897BDF" w:rsidP="00897BDF">
      <w:pPr>
        <w:pStyle w:val="ListParagraph"/>
        <w:numPr>
          <w:ilvl w:val="1"/>
          <w:numId w:val="3"/>
        </w:numPr>
      </w:pPr>
      <w:r>
        <w:t>Protect environmentally sensitive lands</w:t>
      </w:r>
    </w:p>
    <w:p w14:paraId="51E18C57" w14:textId="543E695C" w:rsidR="00897BDF" w:rsidRDefault="00897BDF" w:rsidP="00897BDF">
      <w:pPr>
        <w:pStyle w:val="ListParagraph"/>
        <w:numPr>
          <w:ilvl w:val="1"/>
          <w:numId w:val="3"/>
        </w:numPr>
      </w:pPr>
      <w:r>
        <w:t>Regulate signage</w:t>
      </w:r>
    </w:p>
    <w:p w14:paraId="795CD273" w14:textId="4C3A4317" w:rsidR="00897BDF" w:rsidRDefault="00897BDF" w:rsidP="00897BDF">
      <w:pPr>
        <w:pStyle w:val="ListParagraph"/>
        <w:numPr>
          <w:ilvl w:val="1"/>
          <w:numId w:val="3"/>
        </w:numPr>
      </w:pPr>
      <w:r>
        <w:t>Provide that public facilities and services meet or exceed standards in CIE of comp plan and are available when needed for development</w:t>
      </w:r>
    </w:p>
    <w:p w14:paraId="722CB16E" w14:textId="168A2E69" w:rsidR="00897BDF" w:rsidRDefault="00897BDF" w:rsidP="00897BDF">
      <w:pPr>
        <w:pStyle w:val="ListParagraph"/>
        <w:numPr>
          <w:ilvl w:val="1"/>
          <w:numId w:val="3"/>
        </w:numPr>
      </w:pPr>
      <w:r>
        <w:t>Ensure safe and convenient traffic flow and parking</w:t>
      </w:r>
    </w:p>
    <w:p w14:paraId="4E2325FF" w14:textId="3E98B45D" w:rsidR="00897BDF" w:rsidRDefault="00897BDF" w:rsidP="00897BDF">
      <w:pPr>
        <w:pStyle w:val="ListParagraph"/>
        <w:numPr>
          <w:ilvl w:val="1"/>
          <w:numId w:val="3"/>
        </w:numPr>
      </w:pPr>
      <w:r>
        <w:t xml:space="preserve">Maintain existing density of residential properties </w:t>
      </w:r>
    </w:p>
    <w:p w14:paraId="034C30B3" w14:textId="3C81596D" w:rsidR="00075CD6" w:rsidRDefault="00075CD6" w:rsidP="00075CD6">
      <w:pPr>
        <w:pStyle w:val="ListParagraph"/>
        <w:numPr>
          <w:ilvl w:val="0"/>
          <w:numId w:val="3"/>
        </w:numPr>
      </w:pPr>
      <w:r>
        <w:t>Areas preempted</w:t>
      </w:r>
    </w:p>
    <w:p w14:paraId="49507680" w14:textId="705C0944" w:rsidR="00075CD6" w:rsidRDefault="00075CD6" w:rsidP="00075CD6">
      <w:pPr>
        <w:pStyle w:val="ListParagraph"/>
        <w:numPr>
          <w:ilvl w:val="1"/>
          <w:numId w:val="3"/>
        </w:numPr>
      </w:pPr>
      <w:r>
        <w:t>Honeybee colonies</w:t>
      </w:r>
    </w:p>
    <w:p w14:paraId="15DC58FC" w14:textId="44C31EA9" w:rsidR="00075CD6" w:rsidRDefault="00075CD6" w:rsidP="00075CD6">
      <w:pPr>
        <w:pStyle w:val="ListParagraph"/>
        <w:numPr>
          <w:ilvl w:val="1"/>
          <w:numId w:val="3"/>
        </w:numPr>
      </w:pPr>
      <w:r>
        <w:t>Farm buildings, fences and signs (FS 586.10, 604.50)</w:t>
      </w:r>
    </w:p>
    <w:p w14:paraId="0C7C0B85" w14:textId="22659344" w:rsidR="00075CD6" w:rsidRDefault="00075CD6" w:rsidP="00075CD6">
      <w:pPr>
        <w:pStyle w:val="ListParagraph"/>
        <w:numPr>
          <w:ilvl w:val="1"/>
          <w:numId w:val="3"/>
        </w:numPr>
      </w:pPr>
      <w:proofErr w:type="gramStart"/>
      <w:r>
        <w:t>Also</w:t>
      </w:r>
      <w:proofErr w:type="gramEnd"/>
      <w:r>
        <w:t xml:space="preserve"> limitations on farm worker housing (FS 381.00896)</w:t>
      </w:r>
    </w:p>
    <w:p w14:paraId="2DCF5E10" w14:textId="09E2E485" w:rsidR="00075CD6" w:rsidRDefault="00075CD6" w:rsidP="00075CD6">
      <w:pPr>
        <w:pStyle w:val="ListParagraph"/>
        <w:numPr>
          <w:ilvl w:val="0"/>
          <w:numId w:val="3"/>
        </w:numPr>
      </w:pPr>
      <w:r>
        <w:t>Standard of review</w:t>
      </w:r>
    </w:p>
    <w:p w14:paraId="60657C4F" w14:textId="7A4E59B5" w:rsidR="00075CD6" w:rsidRDefault="00075CD6" w:rsidP="00075CD6">
      <w:pPr>
        <w:pStyle w:val="ListParagraph"/>
        <w:numPr>
          <w:ilvl w:val="1"/>
          <w:numId w:val="3"/>
        </w:numPr>
      </w:pPr>
      <w:r>
        <w:t>If consistent with plan, and no suspect class or right, are upheld if bear a rational relationship to a legitimate public purpose; presumptively valid</w:t>
      </w:r>
    </w:p>
    <w:p w14:paraId="2AD47CFA" w14:textId="6320E89B" w:rsidR="00075CD6" w:rsidRDefault="00075CD6" w:rsidP="00075CD6">
      <w:pPr>
        <w:pStyle w:val="ListParagraph"/>
        <w:numPr>
          <w:ilvl w:val="1"/>
          <w:numId w:val="3"/>
        </w:numPr>
      </w:pPr>
      <w:r>
        <w:t>Deference is given to local government interpretation of an ordinance (agency responsible for administration), unless unreasonable or clearly erroneous</w:t>
      </w:r>
    </w:p>
    <w:p w14:paraId="00887999" w14:textId="0AA70681" w:rsidR="00075CD6" w:rsidRDefault="00075CD6" w:rsidP="00075CD6">
      <w:pPr>
        <w:pStyle w:val="ListParagraph"/>
        <w:numPr>
          <w:ilvl w:val="2"/>
          <w:numId w:val="3"/>
        </w:numPr>
      </w:pPr>
      <w:r>
        <w:t>Ordinance is given plain meaning, and all doubts construed in favor of property owner</w:t>
      </w:r>
    </w:p>
    <w:p w14:paraId="44B14B52" w14:textId="6A808B63" w:rsidR="00075CD6" w:rsidRDefault="00075CD6" w:rsidP="00075CD6">
      <w:r>
        <w:rPr>
          <w:u w:val="single"/>
        </w:rPr>
        <w:t>Development Agreements</w:t>
      </w:r>
    </w:p>
    <w:p w14:paraId="60704030" w14:textId="1C6C6304" w:rsidR="00075CD6" w:rsidRDefault="00075CD6" w:rsidP="00075CD6">
      <w:pPr>
        <w:pStyle w:val="ListParagraph"/>
        <w:numPr>
          <w:ilvl w:val="0"/>
          <w:numId w:val="4"/>
        </w:numPr>
      </w:pPr>
      <w:r>
        <w:t>Can set out terms of development, provision of infrastructure</w:t>
      </w:r>
    </w:p>
    <w:p w14:paraId="051F6234" w14:textId="2898A4EF" w:rsidR="00075CD6" w:rsidRDefault="00075CD6" w:rsidP="00075CD6">
      <w:pPr>
        <w:pStyle w:val="ListParagraph"/>
        <w:numPr>
          <w:ilvl w:val="0"/>
          <w:numId w:val="4"/>
        </w:numPr>
      </w:pPr>
      <w:r>
        <w:t>Cannot exceed 30 years in length</w:t>
      </w:r>
    </w:p>
    <w:p w14:paraId="02FC1BC0" w14:textId="5CF7CDE0" w:rsidR="00075CD6" w:rsidRDefault="00075CD6" w:rsidP="00075CD6"/>
    <w:p w14:paraId="29A201BD" w14:textId="56CB1258" w:rsidR="00075CD6" w:rsidRDefault="00075CD6" w:rsidP="00075CD6">
      <w:r>
        <w:rPr>
          <w:u w:val="single"/>
        </w:rPr>
        <w:t>Rural Land Stewardship Areas</w:t>
      </w:r>
    </w:p>
    <w:p w14:paraId="478BA14B" w14:textId="0C90BDFB" w:rsidR="00075CD6" w:rsidRDefault="00075CD6" w:rsidP="00075CD6">
      <w:pPr>
        <w:pStyle w:val="ListParagraph"/>
        <w:numPr>
          <w:ilvl w:val="0"/>
          <w:numId w:val="5"/>
        </w:numPr>
      </w:pPr>
      <w:r>
        <w:t>Purpose is to establish long-term incentives to accommodate future land use, protect natural resources, and encourage retention of farmland and rural areas</w:t>
      </w:r>
    </w:p>
    <w:p w14:paraId="27D50E7E" w14:textId="1AD4C024" w:rsidR="00075CD6" w:rsidRDefault="00075CD6" w:rsidP="00075CD6">
      <w:pPr>
        <w:pStyle w:val="ListParagraph"/>
        <w:numPr>
          <w:ilvl w:val="0"/>
          <w:numId w:val="5"/>
        </w:numPr>
      </w:pPr>
      <w:r>
        <w:t>Land use overlay districts</w:t>
      </w:r>
    </w:p>
    <w:p w14:paraId="6EDBE6A3" w14:textId="1FAE4193" w:rsidR="00075CD6" w:rsidRDefault="00075CD6" w:rsidP="00075CD6">
      <w:pPr>
        <w:pStyle w:val="ListParagraph"/>
        <w:numPr>
          <w:ilvl w:val="0"/>
          <w:numId w:val="5"/>
        </w:numPr>
      </w:pPr>
      <w:r>
        <w:t xml:space="preserve">Areas must not be less than 10,000 acres and located outside of cities and urban service areas.  </w:t>
      </w:r>
    </w:p>
    <w:p w14:paraId="7B165C39" w14:textId="2B091921" w:rsidR="00075CD6" w:rsidRDefault="00075CD6" w:rsidP="00075CD6">
      <w:pPr>
        <w:pStyle w:val="ListParagraph"/>
        <w:numPr>
          <w:ilvl w:val="0"/>
          <w:numId w:val="5"/>
        </w:numPr>
      </w:pPr>
      <w:r>
        <w:t>Must provide for transferrable rural land use credits going from sending area to receiving areas.  Stewardship easements must be placed on sending areas</w:t>
      </w:r>
    </w:p>
    <w:p w14:paraId="1715C854" w14:textId="2D78B1EA" w:rsidR="00075CD6" w:rsidRDefault="00075CD6" w:rsidP="00075CD6"/>
    <w:p w14:paraId="0A4E347B" w14:textId="2966013D" w:rsidR="00075CD6" w:rsidRDefault="00075CD6" w:rsidP="00075CD6">
      <w:r>
        <w:rPr>
          <w:u w:val="single"/>
        </w:rPr>
        <w:t>Urban Infill and Redevelopment Areas</w:t>
      </w:r>
    </w:p>
    <w:p w14:paraId="494A4139" w14:textId="63CC9958" w:rsidR="00075CD6" w:rsidRDefault="00075CD6" w:rsidP="00075CD6">
      <w:pPr>
        <w:pStyle w:val="ListParagraph"/>
        <w:numPr>
          <w:ilvl w:val="0"/>
          <w:numId w:val="6"/>
        </w:numPr>
      </w:pPr>
      <w:r>
        <w:t>Purpose is for targeting economic development, job creation, housing, transportation, crime prevention, revitalization and land use incentives</w:t>
      </w:r>
    </w:p>
    <w:p w14:paraId="3B23A660" w14:textId="25AB0AA6" w:rsidR="00075CD6" w:rsidRDefault="00075CD6" w:rsidP="00075CD6">
      <w:pPr>
        <w:pStyle w:val="ListParagraph"/>
        <w:numPr>
          <w:ilvl w:val="0"/>
          <w:numId w:val="6"/>
        </w:numPr>
      </w:pPr>
      <w:r>
        <w:t xml:space="preserve">Local governments </w:t>
      </w:r>
      <w:proofErr w:type="gramStart"/>
      <w:r>
        <w:t>have to</w:t>
      </w:r>
      <w:proofErr w:type="gramEnd"/>
      <w:r>
        <w:t xml:space="preserve"> engage in envisioning process for urban core and creation of </w:t>
      </w:r>
      <w:proofErr w:type="spellStart"/>
      <w:r>
        <w:t>urbal</w:t>
      </w:r>
      <w:proofErr w:type="spellEnd"/>
      <w:r>
        <w:t xml:space="preserve"> infill and redevelopment plan</w:t>
      </w:r>
    </w:p>
    <w:p w14:paraId="2DC456E6" w14:textId="3B0795B6" w:rsidR="00075CD6" w:rsidRDefault="00075CD6" w:rsidP="00075CD6">
      <w:pPr>
        <w:pStyle w:val="ListParagraph"/>
        <w:numPr>
          <w:ilvl w:val="0"/>
          <w:numId w:val="6"/>
        </w:numPr>
      </w:pPr>
      <w:r>
        <w:t>Can use tax incentive financing and revenue bonds</w:t>
      </w:r>
    </w:p>
    <w:p w14:paraId="2D073438" w14:textId="4082B998" w:rsidR="00C776FB" w:rsidRDefault="00C776FB" w:rsidP="00C776FB">
      <w:r>
        <w:rPr>
          <w:u w:val="single"/>
        </w:rPr>
        <w:lastRenderedPageBreak/>
        <w:t>Conditional Uses</w:t>
      </w:r>
    </w:p>
    <w:p w14:paraId="7216DB13" w14:textId="37A3FD94" w:rsidR="00C776FB" w:rsidRDefault="00C776FB" w:rsidP="00C776FB">
      <w:pPr>
        <w:pStyle w:val="ListParagraph"/>
        <w:numPr>
          <w:ilvl w:val="0"/>
          <w:numId w:val="7"/>
        </w:numPr>
      </w:pPr>
      <w:r>
        <w:t>Burden is initially on the applicant to demonstrate compliance with the criteria, but then shifts to the local government to establish that the use does not meet the criteria and is, in fact, adverse to the public interest.</w:t>
      </w:r>
    </w:p>
    <w:p w14:paraId="2943E571" w14:textId="42F1B65A" w:rsidR="00C776FB" w:rsidRDefault="00C776FB" w:rsidP="00C776FB"/>
    <w:p w14:paraId="4DED6C24" w14:textId="619F4FBD" w:rsidR="00C776FB" w:rsidRDefault="00C776FB" w:rsidP="00C776FB">
      <w:r>
        <w:rPr>
          <w:u w:val="single"/>
        </w:rPr>
        <w:t>Vested Rights (Equitable Estoppel</w:t>
      </w:r>
      <w:r>
        <w:t>)</w:t>
      </w:r>
    </w:p>
    <w:p w14:paraId="1E3BA9B6" w14:textId="2BB05483" w:rsidR="00C776FB" w:rsidRDefault="00C776FB" w:rsidP="00C776FB">
      <w:pPr>
        <w:pStyle w:val="ListParagraph"/>
        <w:numPr>
          <w:ilvl w:val="0"/>
          <w:numId w:val="7"/>
        </w:numPr>
      </w:pPr>
      <w:r>
        <w:t>Elements:</w:t>
      </w:r>
    </w:p>
    <w:p w14:paraId="26A6FC6F" w14:textId="1E6A5186" w:rsidR="00C776FB" w:rsidRDefault="00C776FB" w:rsidP="00C776FB">
      <w:pPr>
        <w:pStyle w:val="ListParagraph"/>
        <w:numPr>
          <w:ilvl w:val="1"/>
          <w:numId w:val="7"/>
        </w:numPr>
      </w:pPr>
      <w:r>
        <w:t>Property owner has relied in good faith</w:t>
      </w:r>
    </w:p>
    <w:p w14:paraId="6FC646B0" w14:textId="7665DD89" w:rsidR="00C776FB" w:rsidRDefault="00C776FB" w:rsidP="00C776FB">
      <w:pPr>
        <w:pStyle w:val="ListParagraph"/>
        <w:numPr>
          <w:ilvl w:val="1"/>
          <w:numId w:val="7"/>
        </w:numPr>
      </w:pPr>
      <w:r>
        <w:t>Upon some act or omission of the government</w:t>
      </w:r>
    </w:p>
    <w:p w14:paraId="3CF0CA01" w14:textId="2198DC53" w:rsidR="00C776FB" w:rsidRDefault="00C776FB" w:rsidP="00C776FB">
      <w:pPr>
        <w:pStyle w:val="ListParagraph"/>
        <w:numPr>
          <w:ilvl w:val="1"/>
          <w:numId w:val="7"/>
        </w:numPr>
      </w:pPr>
      <w:r>
        <w:t xml:space="preserve">Has made a substantial change in position or incurred extensive obligations and expenses that it would be highly inequitable and unjust to destroy the right acquired.  </w:t>
      </w:r>
    </w:p>
    <w:p w14:paraId="00491507" w14:textId="2E5EE7B7" w:rsidR="00C776FB" w:rsidRDefault="00C776FB" w:rsidP="00C776FB">
      <w:pPr>
        <w:pStyle w:val="ListParagraph"/>
        <w:numPr>
          <w:ilvl w:val="0"/>
          <w:numId w:val="7"/>
        </w:numPr>
      </w:pPr>
      <w:r>
        <w:t>Based on rules of fair play, and can only be imposed under exceptional circumstances</w:t>
      </w:r>
    </w:p>
    <w:p w14:paraId="09EC208A" w14:textId="1F2883D1" w:rsidR="00C776FB" w:rsidRDefault="00C776FB" w:rsidP="00C776FB">
      <w:pPr>
        <w:pStyle w:val="ListParagraph"/>
        <w:numPr>
          <w:ilvl w:val="0"/>
          <w:numId w:val="7"/>
        </w:numPr>
      </w:pPr>
      <w:r>
        <w:t>Legislative vesting can occur where project has received certain level of approvals</w:t>
      </w:r>
    </w:p>
    <w:p w14:paraId="7055A8D6" w14:textId="64E5BD90" w:rsidR="00C776FB" w:rsidRDefault="00C776FB" w:rsidP="00C776FB"/>
    <w:p w14:paraId="5CA61C65" w14:textId="5D155405" w:rsidR="00C776FB" w:rsidRDefault="00C776FB" w:rsidP="00C776FB">
      <w:r>
        <w:rPr>
          <w:u w:val="single"/>
        </w:rPr>
        <w:t>Variance</w:t>
      </w:r>
    </w:p>
    <w:p w14:paraId="16453C14" w14:textId="3F8E3669" w:rsidR="00C776FB" w:rsidRDefault="00C776FB" w:rsidP="00C776FB">
      <w:pPr>
        <w:pStyle w:val="ListParagraph"/>
        <w:numPr>
          <w:ilvl w:val="0"/>
          <w:numId w:val="8"/>
        </w:numPr>
      </w:pPr>
      <w:proofErr w:type="gramStart"/>
      <w:r>
        <w:t>Generally</w:t>
      </w:r>
      <w:proofErr w:type="gramEnd"/>
      <w:r>
        <w:t xml:space="preserve"> can be granted based on the following conditions:</w:t>
      </w:r>
    </w:p>
    <w:p w14:paraId="4DCA2B4B" w14:textId="449ACCEC" w:rsidR="00C776FB" w:rsidRDefault="00C776FB" w:rsidP="00C776FB">
      <w:pPr>
        <w:pStyle w:val="ListParagraph"/>
        <w:numPr>
          <w:ilvl w:val="1"/>
          <w:numId w:val="8"/>
        </w:numPr>
      </w:pPr>
      <w:r>
        <w:t>Special conditions exist which are peculiar to the property</w:t>
      </w:r>
    </w:p>
    <w:p w14:paraId="01B451DB" w14:textId="184F3A7C" w:rsidR="00C776FB" w:rsidRDefault="00C776FB" w:rsidP="00C776FB">
      <w:pPr>
        <w:pStyle w:val="ListParagraph"/>
        <w:numPr>
          <w:ilvl w:val="1"/>
          <w:numId w:val="8"/>
        </w:numPr>
      </w:pPr>
      <w:r>
        <w:t>Special conditions were not caused by the applicant</w:t>
      </w:r>
    </w:p>
    <w:p w14:paraId="32836863" w14:textId="30ED52F8" w:rsidR="00C776FB" w:rsidRDefault="00C776FB" w:rsidP="00C776FB">
      <w:pPr>
        <w:pStyle w:val="ListParagraph"/>
        <w:numPr>
          <w:ilvl w:val="1"/>
          <w:numId w:val="8"/>
        </w:numPr>
      </w:pPr>
      <w:r>
        <w:t>Variance would not confer special privilege</w:t>
      </w:r>
    </w:p>
    <w:p w14:paraId="1B94C6D1" w14:textId="5F140294" w:rsidR="00C776FB" w:rsidRDefault="00C776FB" w:rsidP="00C776FB">
      <w:pPr>
        <w:pStyle w:val="ListParagraph"/>
        <w:numPr>
          <w:ilvl w:val="1"/>
          <w:numId w:val="8"/>
        </w:numPr>
      </w:pPr>
      <w:r>
        <w:t>Strict application of zoning code would work an undue hardship</w:t>
      </w:r>
    </w:p>
    <w:p w14:paraId="1DB3C92D" w14:textId="7C6A022E" w:rsidR="00C776FB" w:rsidRDefault="00C776FB" w:rsidP="00C776FB">
      <w:pPr>
        <w:pStyle w:val="ListParagraph"/>
        <w:numPr>
          <w:ilvl w:val="1"/>
          <w:numId w:val="8"/>
        </w:numPr>
      </w:pPr>
      <w:r>
        <w:t>Variance is minimum necessary to make reasonable use of the property</w:t>
      </w:r>
    </w:p>
    <w:p w14:paraId="09E29E18" w14:textId="4E5278BF" w:rsidR="00C776FB" w:rsidRDefault="00C776FB" w:rsidP="00C776FB">
      <w:pPr>
        <w:pStyle w:val="ListParagraph"/>
        <w:numPr>
          <w:ilvl w:val="1"/>
          <w:numId w:val="8"/>
        </w:numPr>
      </w:pPr>
      <w:r>
        <w:t>Variance will be consistent with general intent of the regulations and not harm the area.</w:t>
      </w:r>
    </w:p>
    <w:p w14:paraId="4CEF10A0" w14:textId="65D31750" w:rsidR="00C776FB" w:rsidRDefault="00C776FB" w:rsidP="00C776FB">
      <w:pPr>
        <w:pStyle w:val="ListParagraph"/>
        <w:numPr>
          <w:ilvl w:val="0"/>
          <w:numId w:val="8"/>
        </w:numPr>
      </w:pPr>
      <w:r>
        <w:t>Standard of review/burden of proof: applicant must prove criteria necessary to grant the request are met.  Standard of review is substantial competent evidence on the record</w:t>
      </w:r>
    </w:p>
    <w:p w14:paraId="6E324A1A" w14:textId="20266A81" w:rsidR="00304BE9" w:rsidRDefault="00304BE9" w:rsidP="00304BE9"/>
    <w:p w14:paraId="7CD0AB74" w14:textId="1CFBDA3D" w:rsidR="00304BE9" w:rsidRDefault="00304BE9" w:rsidP="00304BE9">
      <w:r>
        <w:rPr>
          <w:u w:val="single"/>
        </w:rPr>
        <w:t>DRIs</w:t>
      </w:r>
    </w:p>
    <w:p w14:paraId="04F00F09" w14:textId="6C15D320" w:rsidR="00304BE9" w:rsidRDefault="006F4B22" w:rsidP="00304BE9">
      <w:pPr>
        <w:pStyle w:val="ListParagraph"/>
        <w:numPr>
          <w:ilvl w:val="0"/>
          <w:numId w:val="9"/>
        </w:numPr>
      </w:pPr>
      <w:r>
        <w:t>Separate review for projects which may significantly affect more than one jurisdiction</w:t>
      </w:r>
    </w:p>
    <w:p w14:paraId="5DFDB9F6" w14:textId="07A484BF" w:rsidR="006F4B22" w:rsidRDefault="006F4B22" w:rsidP="00304BE9">
      <w:pPr>
        <w:pStyle w:val="ListParagraph"/>
        <w:numPr>
          <w:ilvl w:val="0"/>
          <w:numId w:val="9"/>
        </w:numPr>
      </w:pPr>
      <w:r>
        <w:t>New projects must be approved by state coordinated review process used for comp plan amendments unless proposed development is consistent with comp plan</w:t>
      </w:r>
    </w:p>
    <w:p w14:paraId="4D8547C3" w14:textId="2CF43920" w:rsidR="006F4B22" w:rsidRDefault="006F4B22" w:rsidP="00304BE9">
      <w:pPr>
        <w:pStyle w:val="ListParagraph"/>
        <w:numPr>
          <w:ilvl w:val="0"/>
          <w:numId w:val="9"/>
        </w:numPr>
      </w:pPr>
      <w:r>
        <w:t>Previously authorized DRIs which must be amended must obtain approval and comply with the current comprehensive plan</w:t>
      </w:r>
    </w:p>
    <w:p w14:paraId="3040464F" w14:textId="6140801A" w:rsidR="006F4B22" w:rsidRDefault="006F4B22" w:rsidP="00304BE9">
      <w:pPr>
        <w:pStyle w:val="ListParagraph"/>
        <w:numPr>
          <w:ilvl w:val="0"/>
          <w:numId w:val="9"/>
        </w:numPr>
      </w:pPr>
      <w:r>
        <w:t>DRIs can be proposed to be abandoned by developer or owner, or local government if notifies all property owners in writing</w:t>
      </w:r>
    </w:p>
    <w:p w14:paraId="027F5A43" w14:textId="5D0668C7" w:rsidR="006F4B22" w:rsidRDefault="006F4B22" w:rsidP="006F4B22">
      <w:pPr>
        <w:pStyle w:val="ListParagraph"/>
        <w:numPr>
          <w:ilvl w:val="1"/>
          <w:numId w:val="9"/>
        </w:numPr>
      </w:pPr>
      <w:r>
        <w:t xml:space="preserve">All required </w:t>
      </w:r>
      <w:proofErr w:type="spellStart"/>
      <w:r>
        <w:t>mitigaito</w:t>
      </w:r>
      <w:proofErr w:type="spellEnd"/>
      <w:r>
        <w:t xml:space="preserve"> must be completed</w:t>
      </w:r>
    </w:p>
    <w:p w14:paraId="59EE763B" w14:textId="040649D3" w:rsidR="006F4B22" w:rsidRDefault="006F4B22" w:rsidP="006F4B22">
      <w:pPr>
        <w:pStyle w:val="ListParagraph"/>
        <w:numPr>
          <w:ilvl w:val="0"/>
          <w:numId w:val="9"/>
        </w:numPr>
      </w:pPr>
      <w:r>
        <w:t xml:space="preserve">Development rights do not pass automatically with conveyance of the fee simple interest and no automatic transfer of specific portion of development rights allocated to the larger DRI.  </w:t>
      </w:r>
    </w:p>
    <w:p w14:paraId="004ADA6E" w14:textId="77777777" w:rsidR="005527E9" w:rsidRDefault="005527E9" w:rsidP="006F4B22">
      <w:pPr>
        <w:pStyle w:val="ListParagraph"/>
        <w:numPr>
          <w:ilvl w:val="0"/>
          <w:numId w:val="9"/>
        </w:numPr>
      </w:pPr>
    </w:p>
    <w:p w14:paraId="5F39E30C" w14:textId="5FC8A801" w:rsidR="005527E9" w:rsidRDefault="005527E9" w:rsidP="005527E9">
      <w:r>
        <w:rPr>
          <w:u w:val="single"/>
        </w:rPr>
        <w:lastRenderedPageBreak/>
        <w:t>Florida Quality Development</w:t>
      </w:r>
    </w:p>
    <w:p w14:paraId="2FE2292C" w14:textId="79E5E81B" w:rsidR="005527E9" w:rsidRDefault="005527E9" w:rsidP="005527E9">
      <w:pPr>
        <w:pStyle w:val="ListParagraph"/>
        <w:numPr>
          <w:ilvl w:val="0"/>
          <w:numId w:val="10"/>
        </w:numPr>
      </w:pPr>
      <w:r>
        <w:t xml:space="preserve">Alternative review from DRI for projects which meet qualifications regarding design and resource protection.  </w:t>
      </w:r>
    </w:p>
    <w:p w14:paraId="2D4BB2F9" w14:textId="52AA58F8" w:rsidR="005527E9" w:rsidRDefault="005527E9" w:rsidP="005527E9">
      <w:pPr>
        <w:pStyle w:val="ListParagraph"/>
        <w:numPr>
          <w:ilvl w:val="0"/>
          <w:numId w:val="10"/>
        </w:numPr>
      </w:pPr>
      <w:r>
        <w:t xml:space="preserve">Is approved by state agency after agreement to the FQD designation by the affected local government.  </w:t>
      </w:r>
    </w:p>
    <w:p w14:paraId="6C2405F9" w14:textId="754CDB95" w:rsidR="005527E9" w:rsidRDefault="005527E9" w:rsidP="005527E9"/>
    <w:p w14:paraId="2090EBE0" w14:textId="015959F4" w:rsidR="005527E9" w:rsidRDefault="005527E9" w:rsidP="005527E9">
      <w:proofErr w:type="spellStart"/>
      <w:r>
        <w:rPr>
          <w:u w:val="single"/>
        </w:rPr>
        <w:t>Quasi Judicial</w:t>
      </w:r>
      <w:proofErr w:type="spellEnd"/>
      <w:r>
        <w:rPr>
          <w:u w:val="single"/>
        </w:rPr>
        <w:t xml:space="preserve"> v. Legislative Zoning Decisions</w:t>
      </w:r>
    </w:p>
    <w:p w14:paraId="5BDC8A81" w14:textId="185644CD" w:rsidR="005527E9" w:rsidRDefault="005527E9" w:rsidP="005527E9">
      <w:pPr>
        <w:pStyle w:val="ListParagraph"/>
        <w:numPr>
          <w:ilvl w:val="0"/>
          <w:numId w:val="11"/>
        </w:numPr>
      </w:pPr>
      <w:proofErr w:type="gramStart"/>
      <w:r>
        <w:t>Generally</w:t>
      </w:r>
      <w:proofErr w:type="gramEnd"/>
      <w:r>
        <w:t xml:space="preserve"> character of hearing determines if legislative v. </w:t>
      </w:r>
      <w:proofErr w:type="spellStart"/>
      <w:r>
        <w:t>quasi judicial</w:t>
      </w:r>
      <w:proofErr w:type="spellEnd"/>
    </w:p>
    <w:p w14:paraId="409A3E38" w14:textId="28822258" w:rsidR="005527E9" w:rsidRDefault="005527E9" w:rsidP="005527E9">
      <w:pPr>
        <w:pStyle w:val="ListParagraph"/>
        <w:numPr>
          <w:ilvl w:val="0"/>
          <w:numId w:val="11"/>
        </w:numPr>
      </w:pPr>
      <w:r>
        <w:t xml:space="preserve">Rezoning is </w:t>
      </w:r>
      <w:proofErr w:type="spellStart"/>
      <w:r>
        <w:t>quasi judicial</w:t>
      </w:r>
      <w:proofErr w:type="spellEnd"/>
      <w:r>
        <w:t xml:space="preserve"> where:</w:t>
      </w:r>
    </w:p>
    <w:p w14:paraId="236C56FF" w14:textId="6CBA3CE2" w:rsidR="005527E9" w:rsidRDefault="005527E9" w:rsidP="005527E9">
      <w:pPr>
        <w:pStyle w:val="ListParagraph"/>
        <w:numPr>
          <w:ilvl w:val="1"/>
          <w:numId w:val="11"/>
        </w:numPr>
      </w:pPr>
      <w:r>
        <w:t>It impacts a limited number of persons of identifiable parties and interests</w:t>
      </w:r>
    </w:p>
    <w:p w14:paraId="3FBE88F6" w14:textId="009D96E5" w:rsidR="005527E9" w:rsidRDefault="005527E9" w:rsidP="005527E9">
      <w:pPr>
        <w:pStyle w:val="ListParagraph"/>
        <w:numPr>
          <w:ilvl w:val="1"/>
          <w:numId w:val="11"/>
        </w:numPr>
      </w:pPr>
      <w:r>
        <w:t xml:space="preserve">When the decision is contingent on facts arrived at from distinct alternatives </w:t>
      </w:r>
      <w:proofErr w:type="spellStart"/>
      <w:r>
        <w:t>preseted</w:t>
      </w:r>
      <w:proofErr w:type="spellEnd"/>
      <w:r>
        <w:t xml:space="preserve"> at local government hearing</w:t>
      </w:r>
    </w:p>
    <w:p w14:paraId="38B28751" w14:textId="7C46D465" w:rsidR="005527E9" w:rsidRDefault="005527E9" w:rsidP="005527E9">
      <w:pPr>
        <w:pStyle w:val="ListParagraph"/>
        <w:numPr>
          <w:ilvl w:val="1"/>
          <w:numId w:val="11"/>
        </w:numPr>
      </w:pPr>
      <w:r>
        <w:t>When the decision can be viewed as policy application rather than policy setting</w:t>
      </w:r>
    </w:p>
    <w:p w14:paraId="444F22D9" w14:textId="6EC4C8BD" w:rsidR="005527E9" w:rsidRDefault="005527E9" w:rsidP="005527E9">
      <w:pPr>
        <w:pStyle w:val="ListParagraph"/>
        <w:numPr>
          <w:ilvl w:val="0"/>
          <w:numId w:val="11"/>
        </w:numPr>
      </w:pPr>
      <w:r>
        <w:t>Comprehensive plan amendments are legislative</w:t>
      </w:r>
      <w:r w:rsidR="00E95823">
        <w:t xml:space="preserve">.  </w:t>
      </w:r>
      <w:r w:rsidR="00E95823">
        <w:rPr>
          <w:u w:val="single"/>
        </w:rPr>
        <w:t xml:space="preserve">Martin County v. </w:t>
      </w:r>
      <w:proofErr w:type="spellStart"/>
      <w:r w:rsidR="00E95823">
        <w:rPr>
          <w:u w:val="single"/>
        </w:rPr>
        <w:t>Yusem</w:t>
      </w:r>
      <w:proofErr w:type="spellEnd"/>
    </w:p>
    <w:p w14:paraId="0E55FB04" w14:textId="551EDBC6" w:rsidR="00E95823" w:rsidRDefault="00E95823" w:rsidP="005527E9">
      <w:pPr>
        <w:pStyle w:val="ListParagraph"/>
        <w:numPr>
          <w:ilvl w:val="0"/>
          <w:numId w:val="11"/>
        </w:numPr>
      </w:pPr>
      <w:r>
        <w:rPr>
          <w:b/>
        </w:rPr>
        <w:t>Legislative Matters</w:t>
      </w:r>
    </w:p>
    <w:p w14:paraId="1BE21E4A" w14:textId="6B9ABA41" w:rsidR="00E95823" w:rsidRDefault="00E95823" w:rsidP="00E95823">
      <w:pPr>
        <w:pStyle w:val="ListParagraph"/>
        <w:numPr>
          <w:ilvl w:val="1"/>
          <w:numId w:val="11"/>
        </w:numPr>
      </w:pPr>
      <w:r>
        <w:t>Burden of proof is to show arbitrary and capricious</w:t>
      </w:r>
    </w:p>
    <w:p w14:paraId="29E84F98" w14:textId="7EFA0574" w:rsidR="00E95823" w:rsidRDefault="00E95823" w:rsidP="00E95823">
      <w:pPr>
        <w:pStyle w:val="ListParagraph"/>
        <w:numPr>
          <w:ilvl w:val="1"/>
          <w:numId w:val="11"/>
        </w:numPr>
      </w:pPr>
      <w:r>
        <w:t>Requires notice of hearing and opportunity to be heard</w:t>
      </w:r>
    </w:p>
    <w:p w14:paraId="58B01D9D" w14:textId="0F642325" w:rsidR="00E95823" w:rsidRDefault="00E95823" w:rsidP="00E95823">
      <w:pPr>
        <w:pStyle w:val="ListParagraph"/>
        <w:numPr>
          <w:ilvl w:val="1"/>
          <w:numId w:val="11"/>
        </w:numPr>
      </w:pPr>
      <w:r>
        <w:t>Reviewed de novo</w:t>
      </w:r>
    </w:p>
    <w:p w14:paraId="0FA4F5C5" w14:textId="42D3708A" w:rsidR="00CB4804" w:rsidRDefault="00CB4804" w:rsidP="00E95823">
      <w:pPr>
        <w:pStyle w:val="ListParagraph"/>
        <w:numPr>
          <w:ilvl w:val="1"/>
          <w:numId w:val="11"/>
        </w:numPr>
      </w:pPr>
      <w:r>
        <w:t>Fairly debatable standard of review</w:t>
      </w:r>
    </w:p>
    <w:p w14:paraId="01C141BF" w14:textId="37457153" w:rsidR="00E95823" w:rsidRDefault="00E95823" w:rsidP="00E95823">
      <w:pPr>
        <w:pStyle w:val="ListParagraph"/>
        <w:numPr>
          <w:ilvl w:val="0"/>
          <w:numId w:val="11"/>
        </w:numPr>
      </w:pPr>
      <w:proofErr w:type="spellStart"/>
      <w:r>
        <w:rPr>
          <w:b/>
        </w:rPr>
        <w:t>Quasi Judicial</w:t>
      </w:r>
      <w:proofErr w:type="spellEnd"/>
      <w:r>
        <w:rPr>
          <w:b/>
        </w:rPr>
        <w:t xml:space="preserve"> Matters</w:t>
      </w:r>
    </w:p>
    <w:p w14:paraId="7E194B73" w14:textId="7F35F36C" w:rsidR="00E95823" w:rsidRDefault="00E95823" w:rsidP="00E95823">
      <w:pPr>
        <w:pStyle w:val="ListParagraph"/>
        <w:numPr>
          <w:ilvl w:val="1"/>
          <w:numId w:val="11"/>
        </w:numPr>
      </w:pPr>
      <w:r>
        <w:t>Burden of proof is on applicant to show consistency with comp plan; then shifts to local government to prove that maintain the existing zoning accomplishes a legitimate public purpose.</w:t>
      </w:r>
    </w:p>
    <w:p w14:paraId="53C8753D" w14:textId="152A2FFD" w:rsidR="00E95823" w:rsidRDefault="00E95823" w:rsidP="00E95823">
      <w:pPr>
        <w:pStyle w:val="ListParagraph"/>
        <w:numPr>
          <w:ilvl w:val="1"/>
          <w:numId w:val="11"/>
        </w:numPr>
      </w:pPr>
      <w:r>
        <w:t>Property owner is not presumptively entitled to a land use or the maximum intensity or density allowed for land use</w:t>
      </w:r>
    </w:p>
    <w:p w14:paraId="0E7FCBBE" w14:textId="609D958A" w:rsidR="00E95823" w:rsidRDefault="00E95823" w:rsidP="00E95823">
      <w:pPr>
        <w:pStyle w:val="ListParagraph"/>
        <w:numPr>
          <w:ilvl w:val="1"/>
          <w:numId w:val="11"/>
        </w:numPr>
      </w:pPr>
      <w:r>
        <w:t>Requires additional due process.  Notice, opportunity to be heard, present evidence, cross examine witnesses, and to be informed of the facts upon which commission acts.  Extra procedural protections do not apply to non-parties</w:t>
      </w:r>
    </w:p>
    <w:p w14:paraId="187EA96D" w14:textId="6E11F373" w:rsidR="00E95823" w:rsidRDefault="00E95823" w:rsidP="00E95823">
      <w:pPr>
        <w:pStyle w:val="ListParagraph"/>
        <w:numPr>
          <w:ilvl w:val="1"/>
          <w:numId w:val="11"/>
        </w:numPr>
      </w:pPr>
      <w:r>
        <w:t>Reviewed on petition for writ of cert</w:t>
      </w:r>
    </w:p>
    <w:p w14:paraId="10ECE85C" w14:textId="43945D19" w:rsidR="00E95823" w:rsidRDefault="00E95823" w:rsidP="00E95823">
      <w:pPr>
        <w:pStyle w:val="ListParagraph"/>
        <w:numPr>
          <w:ilvl w:val="1"/>
          <w:numId w:val="11"/>
        </w:numPr>
      </w:pPr>
      <w:r>
        <w:t xml:space="preserve">Ex </w:t>
      </w:r>
      <w:proofErr w:type="spellStart"/>
      <w:r>
        <w:t>parte</w:t>
      </w:r>
      <w:proofErr w:type="spellEnd"/>
      <w:r>
        <w:t xml:space="preserve"> communications: should be avoided where possible and are presumptively prejudicial</w:t>
      </w:r>
    </w:p>
    <w:p w14:paraId="2DC47182" w14:textId="12BDB6FA" w:rsidR="00E95823" w:rsidRDefault="00E95823" w:rsidP="00E95823">
      <w:pPr>
        <w:pStyle w:val="ListParagraph"/>
        <w:numPr>
          <w:ilvl w:val="2"/>
          <w:numId w:val="11"/>
        </w:numPr>
      </w:pPr>
      <w:r>
        <w:t xml:space="preserve">Under 286.0115, allows these communications where comply with disclosure and procedural requirements.  </w:t>
      </w:r>
    </w:p>
    <w:p w14:paraId="0466C328" w14:textId="77777777" w:rsidR="00E95823" w:rsidRPr="00E95823" w:rsidRDefault="00E95823" w:rsidP="00E95823">
      <w:pPr>
        <w:pStyle w:val="ListParagraph"/>
        <w:numPr>
          <w:ilvl w:val="0"/>
          <w:numId w:val="11"/>
        </w:numPr>
        <w:spacing w:after="0" w:line="240" w:lineRule="auto"/>
        <w:rPr>
          <w:rFonts w:ascii="Verdana" w:eastAsia="Times New Roman" w:hAnsi="Verdana" w:cs="Times New Roman"/>
          <w:sz w:val="20"/>
          <w:szCs w:val="20"/>
        </w:rPr>
      </w:pPr>
      <w:r w:rsidRPr="00E95823">
        <w:rPr>
          <w:rFonts w:ascii="Verdana" w:eastAsia="Times New Roman" w:hAnsi="Verdana" w:cs="Times New Roman"/>
          <w:sz w:val="20"/>
          <w:szCs w:val="20"/>
        </w:rPr>
        <w:t>286.0115</w:t>
      </w:r>
      <w:r w:rsidRPr="00E95823">
        <w:t> </w:t>
      </w:r>
      <w:r w:rsidRPr="00E95823">
        <w:rPr>
          <w:rFonts w:ascii="Verdana" w:eastAsia="Times New Roman" w:hAnsi="Verdana" w:cs="Times New Roman"/>
          <w:sz w:val="20"/>
          <w:szCs w:val="20"/>
        </w:rPr>
        <w:t xml:space="preserve">Access to local public officials; quasi-judicial proceedings on local government land use </w:t>
      </w:r>
      <w:proofErr w:type="gramStart"/>
      <w:r w:rsidRPr="00E95823">
        <w:rPr>
          <w:rFonts w:ascii="Verdana" w:eastAsia="Times New Roman" w:hAnsi="Verdana" w:cs="Times New Roman"/>
          <w:sz w:val="20"/>
          <w:szCs w:val="20"/>
        </w:rPr>
        <w:t>matters.—</w:t>
      </w:r>
      <w:proofErr w:type="gramEnd"/>
    </w:p>
    <w:p w14:paraId="75597573" w14:textId="77777777" w:rsidR="00E95823" w:rsidRPr="00E95823" w:rsidRDefault="00E95823" w:rsidP="00E95823">
      <w:pPr>
        <w:pStyle w:val="ListParagraph"/>
        <w:numPr>
          <w:ilvl w:val="0"/>
          <w:numId w:val="11"/>
        </w:numPr>
        <w:spacing w:after="0" w:line="240" w:lineRule="auto"/>
        <w:rPr>
          <w:rFonts w:ascii="Times New Roman" w:eastAsia="Times New Roman" w:hAnsi="Times New Roman" w:cs="Times New Roman"/>
          <w:sz w:val="24"/>
          <w:szCs w:val="24"/>
        </w:rPr>
      </w:pPr>
      <w:r w:rsidRPr="00E95823">
        <w:rPr>
          <w:rFonts w:ascii="Verdana" w:eastAsia="Times New Roman" w:hAnsi="Verdana" w:cs="Times New Roman"/>
          <w:sz w:val="20"/>
          <w:szCs w:val="20"/>
        </w:rPr>
        <w:t>(1)(a)</w:t>
      </w:r>
      <w:r w:rsidRPr="00E95823">
        <w:t> </w:t>
      </w:r>
      <w:r w:rsidRPr="00E95823">
        <w:rPr>
          <w:rFonts w:ascii="Verdana" w:eastAsia="Times New Roman" w:hAnsi="Verdana" w:cs="Times New Roman"/>
          <w:sz w:val="20"/>
          <w:szCs w:val="20"/>
        </w:rPr>
        <w:t xml:space="preserve">A county or municipality may adopt an ordinance or resolution removing the presumption of prejudice from ex </w:t>
      </w:r>
      <w:proofErr w:type="spellStart"/>
      <w:r w:rsidRPr="00E95823">
        <w:rPr>
          <w:rFonts w:ascii="Verdana" w:eastAsia="Times New Roman" w:hAnsi="Verdana" w:cs="Times New Roman"/>
          <w:sz w:val="20"/>
          <w:szCs w:val="20"/>
        </w:rPr>
        <w:t>parte</w:t>
      </w:r>
      <w:proofErr w:type="spellEnd"/>
      <w:r w:rsidRPr="00E95823">
        <w:rPr>
          <w:rFonts w:ascii="Verdana" w:eastAsia="Times New Roman" w:hAnsi="Verdana" w:cs="Times New Roman"/>
          <w:sz w:val="20"/>
          <w:szCs w:val="20"/>
        </w:rPr>
        <w:t xml:space="preserve"> communications with local public officials by establishing a process to disclose ex </w:t>
      </w:r>
      <w:proofErr w:type="spellStart"/>
      <w:r w:rsidRPr="00E95823">
        <w:rPr>
          <w:rFonts w:ascii="Verdana" w:eastAsia="Times New Roman" w:hAnsi="Verdana" w:cs="Times New Roman"/>
          <w:sz w:val="20"/>
          <w:szCs w:val="20"/>
        </w:rPr>
        <w:t>parte</w:t>
      </w:r>
      <w:proofErr w:type="spellEnd"/>
      <w:r w:rsidRPr="00E95823">
        <w:rPr>
          <w:rFonts w:ascii="Verdana" w:eastAsia="Times New Roman" w:hAnsi="Verdana" w:cs="Times New Roman"/>
          <w:sz w:val="20"/>
          <w:szCs w:val="20"/>
        </w:rPr>
        <w:t xml:space="preserve"> communications with such officials pursuant to this subsection or by adopting an alternative process for such disclosure. However, this subsection does not require a county or municipality to adopt any ordinance or resolution establishing a disclosure process.</w:t>
      </w:r>
    </w:p>
    <w:p w14:paraId="03FBA528" w14:textId="77777777" w:rsidR="00E95823" w:rsidRPr="00E95823" w:rsidRDefault="00E95823" w:rsidP="00E95823">
      <w:pPr>
        <w:pStyle w:val="ListParagraph"/>
        <w:numPr>
          <w:ilvl w:val="0"/>
          <w:numId w:val="11"/>
        </w:numPr>
        <w:spacing w:after="0" w:line="240" w:lineRule="auto"/>
        <w:rPr>
          <w:rFonts w:ascii="Verdana" w:eastAsia="Times New Roman" w:hAnsi="Verdana" w:cs="Times New Roman"/>
          <w:sz w:val="20"/>
          <w:szCs w:val="20"/>
        </w:rPr>
      </w:pPr>
      <w:r w:rsidRPr="00E95823">
        <w:rPr>
          <w:rFonts w:ascii="Verdana" w:eastAsia="Times New Roman" w:hAnsi="Verdana" w:cs="Times New Roman"/>
          <w:sz w:val="20"/>
          <w:szCs w:val="20"/>
        </w:rPr>
        <w:t>(b)</w:t>
      </w:r>
      <w:r w:rsidRPr="00E95823">
        <w:t> </w:t>
      </w:r>
      <w:r w:rsidRPr="00E95823">
        <w:rPr>
          <w:rFonts w:ascii="Verdana" w:eastAsia="Times New Roman" w:hAnsi="Verdana" w:cs="Times New Roman"/>
          <w:sz w:val="20"/>
          <w:szCs w:val="20"/>
        </w:rPr>
        <w:t xml:space="preserve">As used in this subsection, the term “local public official” means any elected or appointed public official holding a county or municipal office who recommends or </w:t>
      </w:r>
      <w:r w:rsidRPr="00E95823">
        <w:rPr>
          <w:rFonts w:ascii="Verdana" w:eastAsia="Times New Roman" w:hAnsi="Verdana" w:cs="Times New Roman"/>
          <w:sz w:val="20"/>
          <w:szCs w:val="20"/>
        </w:rPr>
        <w:lastRenderedPageBreak/>
        <w:t>takes quasi-judicial action as a member of a board or commission. The term does not include a member of the board or commission of any state agency or authority.</w:t>
      </w:r>
    </w:p>
    <w:p w14:paraId="67FBA40E" w14:textId="77777777" w:rsidR="00E95823" w:rsidRPr="00E95823" w:rsidRDefault="00E95823" w:rsidP="00E95823">
      <w:pPr>
        <w:pStyle w:val="ListParagraph"/>
        <w:numPr>
          <w:ilvl w:val="0"/>
          <w:numId w:val="11"/>
        </w:numPr>
        <w:spacing w:after="0" w:line="240" w:lineRule="auto"/>
        <w:rPr>
          <w:rFonts w:ascii="Verdana" w:eastAsia="Times New Roman" w:hAnsi="Verdana" w:cs="Times New Roman"/>
          <w:sz w:val="20"/>
          <w:szCs w:val="20"/>
        </w:rPr>
      </w:pPr>
      <w:r w:rsidRPr="00E95823">
        <w:rPr>
          <w:rFonts w:ascii="Verdana" w:eastAsia="Times New Roman" w:hAnsi="Verdana" w:cs="Times New Roman"/>
          <w:sz w:val="20"/>
          <w:szCs w:val="20"/>
        </w:rPr>
        <w:t>(c)</w:t>
      </w:r>
      <w:r w:rsidRPr="00E95823">
        <w:t> </w:t>
      </w:r>
      <w:r w:rsidRPr="00E95823">
        <w:rPr>
          <w:rFonts w:ascii="Verdana" w:eastAsia="Times New Roman" w:hAnsi="Verdana" w:cs="Times New Roman"/>
          <w:sz w:val="20"/>
          <w:szCs w:val="20"/>
        </w:rPr>
        <w:t xml:space="preserve">Any person not otherwise prohibited by statute, charter provision, or ordinance may discuss with any local public official the merits of any matter on which action may be taken by any board or commission on which the local public official is a member. If adopted by county or municipal ordinance or resolution, adherence to the following procedures shall remove the presumption of prejudice arising from ex </w:t>
      </w:r>
      <w:proofErr w:type="spellStart"/>
      <w:r w:rsidRPr="00E95823">
        <w:rPr>
          <w:rFonts w:ascii="Verdana" w:eastAsia="Times New Roman" w:hAnsi="Verdana" w:cs="Times New Roman"/>
          <w:sz w:val="20"/>
          <w:szCs w:val="20"/>
        </w:rPr>
        <w:t>parte</w:t>
      </w:r>
      <w:proofErr w:type="spellEnd"/>
      <w:r w:rsidRPr="00E95823">
        <w:rPr>
          <w:rFonts w:ascii="Verdana" w:eastAsia="Times New Roman" w:hAnsi="Verdana" w:cs="Times New Roman"/>
          <w:sz w:val="20"/>
          <w:szCs w:val="20"/>
        </w:rPr>
        <w:t xml:space="preserve"> communications with local public officials.</w:t>
      </w:r>
    </w:p>
    <w:p w14:paraId="3BD19397" w14:textId="77777777" w:rsidR="00E95823" w:rsidRPr="00E95823" w:rsidRDefault="00E95823" w:rsidP="00E95823">
      <w:pPr>
        <w:pStyle w:val="ListParagraph"/>
        <w:numPr>
          <w:ilvl w:val="0"/>
          <w:numId w:val="11"/>
        </w:numPr>
        <w:spacing w:after="0" w:line="240" w:lineRule="auto"/>
        <w:rPr>
          <w:rFonts w:ascii="Verdana" w:eastAsia="Times New Roman" w:hAnsi="Verdana" w:cs="Times New Roman"/>
          <w:sz w:val="20"/>
          <w:szCs w:val="20"/>
        </w:rPr>
      </w:pPr>
      <w:r w:rsidRPr="00E95823">
        <w:rPr>
          <w:rFonts w:ascii="Verdana" w:eastAsia="Times New Roman" w:hAnsi="Verdana" w:cs="Times New Roman"/>
          <w:sz w:val="20"/>
          <w:szCs w:val="20"/>
        </w:rPr>
        <w:t>1.</w:t>
      </w:r>
      <w:r w:rsidRPr="00E95823">
        <w:t> </w:t>
      </w:r>
      <w:r w:rsidRPr="00E95823">
        <w:rPr>
          <w:rFonts w:ascii="Verdana" w:eastAsia="Times New Roman" w:hAnsi="Verdana" w:cs="Times New Roman"/>
          <w:sz w:val="20"/>
          <w:szCs w:val="20"/>
        </w:rPr>
        <w:t xml:space="preserve">The substance of any ex </w:t>
      </w:r>
      <w:proofErr w:type="spellStart"/>
      <w:r w:rsidRPr="00E95823">
        <w:rPr>
          <w:rFonts w:ascii="Verdana" w:eastAsia="Times New Roman" w:hAnsi="Verdana" w:cs="Times New Roman"/>
          <w:sz w:val="20"/>
          <w:szCs w:val="20"/>
        </w:rPr>
        <w:t>parte</w:t>
      </w:r>
      <w:proofErr w:type="spellEnd"/>
      <w:r w:rsidRPr="00E95823">
        <w:rPr>
          <w:rFonts w:ascii="Verdana" w:eastAsia="Times New Roman" w:hAnsi="Verdana" w:cs="Times New Roman"/>
          <w:sz w:val="20"/>
          <w:szCs w:val="20"/>
        </w:rPr>
        <w:t xml:space="preserve"> communication with a local public official which relates to quasi-judicial action pending before the official is not presumed prejudicial to the action if the subject of the communication and the identity of the person, group, or entity with whom the communication took place is disclosed and made a part of the record before final action on the matter.</w:t>
      </w:r>
    </w:p>
    <w:p w14:paraId="7217CDE9" w14:textId="77777777" w:rsidR="00E95823" w:rsidRPr="00E95823" w:rsidRDefault="00E95823" w:rsidP="00E95823">
      <w:pPr>
        <w:pStyle w:val="ListParagraph"/>
        <w:numPr>
          <w:ilvl w:val="0"/>
          <w:numId w:val="11"/>
        </w:numPr>
        <w:spacing w:after="0" w:line="240" w:lineRule="auto"/>
        <w:rPr>
          <w:rFonts w:ascii="Verdana" w:eastAsia="Times New Roman" w:hAnsi="Verdana" w:cs="Times New Roman"/>
          <w:sz w:val="20"/>
          <w:szCs w:val="20"/>
        </w:rPr>
      </w:pPr>
      <w:r w:rsidRPr="00E95823">
        <w:rPr>
          <w:rFonts w:ascii="Verdana" w:eastAsia="Times New Roman" w:hAnsi="Verdana" w:cs="Times New Roman"/>
          <w:sz w:val="20"/>
          <w:szCs w:val="20"/>
        </w:rPr>
        <w:t>2.</w:t>
      </w:r>
      <w:r w:rsidRPr="00E95823">
        <w:t> </w:t>
      </w:r>
      <w:r w:rsidRPr="00E95823">
        <w:rPr>
          <w:rFonts w:ascii="Verdana" w:eastAsia="Times New Roman" w:hAnsi="Verdana" w:cs="Times New Roman"/>
          <w:sz w:val="20"/>
          <w:szCs w:val="20"/>
        </w:rPr>
        <w:t>A local public official may read a written communication from any person. However, a written communication that relates to quasi-judicial action pending before a local public official shall not be presumed prejudicial to the action, and such written communication shall be made a part of the record before final action on the matter.</w:t>
      </w:r>
    </w:p>
    <w:p w14:paraId="16435D7B" w14:textId="77777777" w:rsidR="00E95823" w:rsidRPr="00E95823" w:rsidRDefault="00E95823" w:rsidP="00E95823">
      <w:pPr>
        <w:pStyle w:val="ListParagraph"/>
        <w:numPr>
          <w:ilvl w:val="0"/>
          <w:numId w:val="11"/>
        </w:numPr>
        <w:spacing w:after="0" w:line="240" w:lineRule="auto"/>
        <w:rPr>
          <w:rFonts w:ascii="Verdana" w:eastAsia="Times New Roman" w:hAnsi="Verdana" w:cs="Times New Roman"/>
          <w:sz w:val="20"/>
          <w:szCs w:val="20"/>
        </w:rPr>
      </w:pPr>
      <w:r w:rsidRPr="00E95823">
        <w:rPr>
          <w:rFonts w:ascii="Verdana" w:eastAsia="Times New Roman" w:hAnsi="Verdana" w:cs="Times New Roman"/>
          <w:sz w:val="20"/>
          <w:szCs w:val="20"/>
        </w:rPr>
        <w:t>3.</w:t>
      </w:r>
      <w:r w:rsidRPr="00E95823">
        <w:t> </w:t>
      </w:r>
      <w:r w:rsidRPr="00E95823">
        <w:rPr>
          <w:rFonts w:ascii="Verdana" w:eastAsia="Times New Roman" w:hAnsi="Verdana" w:cs="Times New Roman"/>
          <w:sz w:val="20"/>
          <w:szCs w:val="20"/>
        </w:rPr>
        <w:t>Local public officials may conduct investigations and site visits and may receive expert opinions regarding quasi-judicial action pending before them. Such activities shall not be presumed prejudicial to the action if the existence of the investigation, site visit, or expert opinion is made a part of the record before final action on the matter.</w:t>
      </w:r>
    </w:p>
    <w:p w14:paraId="3165F8A6" w14:textId="77777777" w:rsidR="00E95823" w:rsidRPr="00E95823" w:rsidRDefault="00E95823" w:rsidP="00E95823">
      <w:pPr>
        <w:pStyle w:val="ListParagraph"/>
        <w:numPr>
          <w:ilvl w:val="0"/>
          <w:numId w:val="11"/>
        </w:numPr>
        <w:spacing w:after="0" w:line="240" w:lineRule="auto"/>
        <w:rPr>
          <w:rFonts w:ascii="Verdana" w:eastAsia="Times New Roman" w:hAnsi="Verdana" w:cs="Times New Roman"/>
          <w:sz w:val="20"/>
          <w:szCs w:val="20"/>
        </w:rPr>
      </w:pPr>
      <w:r w:rsidRPr="00E95823">
        <w:rPr>
          <w:rFonts w:ascii="Verdana" w:eastAsia="Times New Roman" w:hAnsi="Verdana" w:cs="Times New Roman"/>
          <w:sz w:val="20"/>
          <w:szCs w:val="20"/>
        </w:rPr>
        <w:t>4.</w:t>
      </w:r>
      <w:r w:rsidRPr="00E95823">
        <w:t> </w:t>
      </w:r>
      <w:r w:rsidRPr="00E95823">
        <w:rPr>
          <w:rFonts w:ascii="Verdana" w:eastAsia="Times New Roman" w:hAnsi="Verdana" w:cs="Times New Roman"/>
          <w:sz w:val="20"/>
          <w:szCs w:val="20"/>
        </w:rPr>
        <w:t xml:space="preserve">Disclosure made pursuant to subparagraphs 1., 2., and 3. must be made before or during the public meeting at which a vote is taken on such matters, so that persons who have opinions contrary to those expressed in the ex </w:t>
      </w:r>
      <w:proofErr w:type="spellStart"/>
      <w:r w:rsidRPr="00E95823">
        <w:rPr>
          <w:rFonts w:ascii="Verdana" w:eastAsia="Times New Roman" w:hAnsi="Verdana" w:cs="Times New Roman"/>
          <w:sz w:val="20"/>
          <w:szCs w:val="20"/>
        </w:rPr>
        <w:t>parte</w:t>
      </w:r>
      <w:proofErr w:type="spellEnd"/>
      <w:r w:rsidRPr="00E95823">
        <w:rPr>
          <w:rFonts w:ascii="Verdana" w:eastAsia="Times New Roman" w:hAnsi="Verdana" w:cs="Times New Roman"/>
          <w:sz w:val="20"/>
          <w:szCs w:val="20"/>
        </w:rPr>
        <w:t xml:space="preserve"> communication are given a reasonable opportunity to refute or respond to the communication. This subsection does not subject local public officials to part III of chapter 112 for not complying with this paragraph.</w:t>
      </w:r>
    </w:p>
    <w:p w14:paraId="3000BE4A" w14:textId="77777777" w:rsidR="00E95823" w:rsidRPr="00E95823" w:rsidRDefault="00E95823" w:rsidP="00E95823">
      <w:pPr>
        <w:pStyle w:val="ListParagraph"/>
        <w:numPr>
          <w:ilvl w:val="0"/>
          <w:numId w:val="11"/>
        </w:numPr>
        <w:spacing w:after="0" w:line="240" w:lineRule="auto"/>
        <w:rPr>
          <w:rFonts w:ascii="Verdana" w:eastAsia="Times New Roman" w:hAnsi="Verdana" w:cs="Times New Roman"/>
          <w:sz w:val="20"/>
          <w:szCs w:val="20"/>
        </w:rPr>
      </w:pPr>
      <w:r w:rsidRPr="00E95823">
        <w:rPr>
          <w:rFonts w:ascii="Verdana" w:eastAsia="Times New Roman" w:hAnsi="Verdana" w:cs="Times New Roman"/>
          <w:sz w:val="20"/>
          <w:szCs w:val="20"/>
        </w:rPr>
        <w:t>(2)(a)</w:t>
      </w:r>
      <w:r w:rsidRPr="00E95823">
        <w:t> </w:t>
      </w:r>
      <w:r w:rsidRPr="00E95823">
        <w:rPr>
          <w:rFonts w:ascii="Verdana" w:eastAsia="Times New Roman" w:hAnsi="Verdana" w:cs="Times New Roman"/>
          <w:sz w:val="20"/>
          <w:szCs w:val="20"/>
        </w:rPr>
        <w:t>Notwithstanding the provisions of subsection (1), a county or municipality may adopt an ordinance or resolution establishing the procedures and provisions of this subsection for quasi-judicial proceedings on local government land use matters. The ordinance or resolution shall provide procedures and provisions identical to this subsection. However, this subsection does not require a county or municipality to adopt such an ordinance or resolution.</w:t>
      </w:r>
    </w:p>
    <w:p w14:paraId="2790E963" w14:textId="77777777" w:rsidR="00E95823" w:rsidRPr="00E95823" w:rsidRDefault="00E95823" w:rsidP="00E95823">
      <w:pPr>
        <w:pStyle w:val="ListParagraph"/>
        <w:numPr>
          <w:ilvl w:val="0"/>
          <w:numId w:val="11"/>
        </w:numPr>
        <w:spacing w:after="0" w:line="240" w:lineRule="auto"/>
        <w:rPr>
          <w:rFonts w:ascii="Verdana" w:eastAsia="Times New Roman" w:hAnsi="Verdana" w:cs="Times New Roman"/>
          <w:sz w:val="20"/>
          <w:szCs w:val="20"/>
        </w:rPr>
      </w:pPr>
      <w:r w:rsidRPr="00E95823">
        <w:rPr>
          <w:rFonts w:ascii="Verdana" w:eastAsia="Times New Roman" w:hAnsi="Verdana" w:cs="Times New Roman"/>
          <w:sz w:val="20"/>
          <w:szCs w:val="20"/>
        </w:rPr>
        <w:t>(b)</w:t>
      </w:r>
      <w:r w:rsidRPr="00E95823">
        <w:t> </w:t>
      </w:r>
      <w:r w:rsidRPr="00E95823">
        <w:rPr>
          <w:rFonts w:ascii="Verdana" w:eastAsia="Times New Roman" w:hAnsi="Verdana" w:cs="Times New Roman"/>
          <w:sz w:val="20"/>
          <w:szCs w:val="20"/>
        </w:rPr>
        <w:t xml:space="preserve">In a quasi-judicial proceeding on local government land use matters, a person who appears before the </w:t>
      </w:r>
      <w:proofErr w:type="spellStart"/>
      <w:r w:rsidRPr="00E95823">
        <w:rPr>
          <w:rFonts w:ascii="Verdana" w:eastAsia="Times New Roman" w:hAnsi="Verdana" w:cs="Times New Roman"/>
          <w:sz w:val="20"/>
          <w:szCs w:val="20"/>
        </w:rPr>
        <w:t>decisionmaking</w:t>
      </w:r>
      <w:proofErr w:type="spellEnd"/>
      <w:r w:rsidRPr="00E95823">
        <w:rPr>
          <w:rFonts w:ascii="Verdana" w:eastAsia="Times New Roman" w:hAnsi="Verdana" w:cs="Times New Roman"/>
          <w:sz w:val="20"/>
          <w:szCs w:val="20"/>
        </w:rPr>
        <w:t xml:space="preserve"> body who is not a party or party-intervenor shall be allowed to testify before the </w:t>
      </w:r>
      <w:proofErr w:type="spellStart"/>
      <w:r w:rsidRPr="00E95823">
        <w:rPr>
          <w:rFonts w:ascii="Verdana" w:eastAsia="Times New Roman" w:hAnsi="Verdana" w:cs="Times New Roman"/>
          <w:sz w:val="20"/>
          <w:szCs w:val="20"/>
        </w:rPr>
        <w:t>decisionmaking</w:t>
      </w:r>
      <w:proofErr w:type="spellEnd"/>
      <w:r w:rsidRPr="00E95823">
        <w:rPr>
          <w:rFonts w:ascii="Verdana" w:eastAsia="Times New Roman" w:hAnsi="Verdana" w:cs="Times New Roman"/>
          <w:sz w:val="20"/>
          <w:szCs w:val="20"/>
        </w:rPr>
        <w:t xml:space="preserve"> body, subject to control by the </w:t>
      </w:r>
      <w:proofErr w:type="spellStart"/>
      <w:r w:rsidRPr="00E95823">
        <w:rPr>
          <w:rFonts w:ascii="Verdana" w:eastAsia="Times New Roman" w:hAnsi="Verdana" w:cs="Times New Roman"/>
          <w:sz w:val="20"/>
          <w:szCs w:val="20"/>
        </w:rPr>
        <w:t>decisionmaking</w:t>
      </w:r>
      <w:proofErr w:type="spellEnd"/>
      <w:r w:rsidRPr="00E95823">
        <w:rPr>
          <w:rFonts w:ascii="Verdana" w:eastAsia="Times New Roman" w:hAnsi="Verdana" w:cs="Times New Roman"/>
          <w:sz w:val="20"/>
          <w:szCs w:val="20"/>
        </w:rPr>
        <w:t xml:space="preserve"> body, and may be requested to respond to questions from the </w:t>
      </w:r>
      <w:proofErr w:type="spellStart"/>
      <w:r w:rsidRPr="00E95823">
        <w:rPr>
          <w:rFonts w:ascii="Verdana" w:eastAsia="Times New Roman" w:hAnsi="Verdana" w:cs="Times New Roman"/>
          <w:sz w:val="20"/>
          <w:szCs w:val="20"/>
        </w:rPr>
        <w:t>decisionmaking</w:t>
      </w:r>
      <w:proofErr w:type="spellEnd"/>
      <w:r w:rsidRPr="00E95823">
        <w:rPr>
          <w:rFonts w:ascii="Verdana" w:eastAsia="Times New Roman" w:hAnsi="Verdana" w:cs="Times New Roman"/>
          <w:sz w:val="20"/>
          <w:szCs w:val="20"/>
        </w:rPr>
        <w:t xml:space="preserve"> body, but need not be sworn as a witness, is not required to be subject to cross-examination, and is not required to be qualified as an expert witness. The </w:t>
      </w:r>
      <w:proofErr w:type="spellStart"/>
      <w:r w:rsidRPr="00E95823">
        <w:rPr>
          <w:rFonts w:ascii="Verdana" w:eastAsia="Times New Roman" w:hAnsi="Verdana" w:cs="Times New Roman"/>
          <w:sz w:val="20"/>
          <w:szCs w:val="20"/>
        </w:rPr>
        <w:t>decisionmaking</w:t>
      </w:r>
      <w:proofErr w:type="spellEnd"/>
      <w:r w:rsidRPr="00E95823">
        <w:rPr>
          <w:rFonts w:ascii="Verdana" w:eastAsia="Times New Roman" w:hAnsi="Verdana" w:cs="Times New Roman"/>
          <w:sz w:val="20"/>
          <w:szCs w:val="20"/>
        </w:rPr>
        <w:t xml:space="preserve"> body shall assign weight and credibility to such testimony as it deems appropriate. A party or party-intervenor in a quasi-judicial proceeding on local government land use matters, upon request by another party or party-intervenor, shall be sworn as a witness, shall be subject to cross-examination by other parties or party-intervenors, and shall be required to be qualified as an expert witness, as appropriate.</w:t>
      </w:r>
    </w:p>
    <w:p w14:paraId="7D563FE5" w14:textId="77777777" w:rsidR="00E95823" w:rsidRPr="00E95823" w:rsidRDefault="00E95823" w:rsidP="00E95823">
      <w:pPr>
        <w:pStyle w:val="ListParagraph"/>
        <w:numPr>
          <w:ilvl w:val="0"/>
          <w:numId w:val="11"/>
        </w:numPr>
        <w:spacing w:after="0" w:line="240" w:lineRule="auto"/>
        <w:rPr>
          <w:rFonts w:ascii="Verdana" w:eastAsia="Times New Roman" w:hAnsi="Verdana" w:cs="Times New Roman"/>
          <w:sz w:val="20"/>
          <w:szCs w:val="20"/>
        </w:rPr>
      </w:pPr>
      <w:r w:rsidRPr="00E95823">
        <w:rPr>
          <w:rFonts w:ascii="Verdana" w:eastAsia="Times New Roman" w:hAnsi="Verdana" w:cs="Times New Roman"/>
          <w:sz w:val="20"/>
          <w:szCs w:val="20"/>
        </w:rPr>
        <w:t>(c)</w:t>
      </w:r>
      <w:r w:rsidRPr="00E95823">
        <w:t> </w:t>
      </w:r>
      <w:r w:rsidRPr="00E95823">
        <w:rPr>
          <w:rFonts w:ascii="Verdana" w:eastAsia="Times New Roman" w:hAnsi="Verdana" w:cs="Times New Roman"/>
          <w:sz w:val="20"/>
          <w:szCs w:val="20"/>
        </w:rPr>
        <w:t xml:space="preserve">In a quasi-judicial proceeding on local government land use matters, a person may not be precluded from communicating directly with a member of the </w:t>
      </w:r>
      <w:proofErr w:type="spellStart"/>
      <w:r w:rsidRPr="00E95823">
        <w:rPr>
          <w:rFonts w:ascii="Verdana" w:eastAsia="Times New Roman" w:hAnsi="Verdana" w:cs="Times New Roman"/>
          <w:sz w:val="20"/>
          <w:szCs w:val="20"/>
        </w:rPr>
        <w:t>decisionmaking</w:t>
      </w:r>
      <w:proofErr w:type="spellEnd"/>
      <w:r w:rsidRPr="00E95823">
        <w:rPr>
          <w:rFonts w:ascii="Verdana" w:eastAsia="Times New Roman" w:hAnsi="Verdana" w:cs="Times New Roman"/>
          <w:sz w:val="20"/>
          <w:szCs w:val="20"/>
        </w:rPr>
        <w:t xml:space="preserve"> body by application of ex </w:t>
      </w:r>
      <w:proofErr w:type="spellStart"/>
      <w:r w:rsidRPr="00E95823">
        <w:rPr>
          <w:rFonts w:ascii="Verdana" w:eastAsia="Times New Roman" w:hAnsi="Verdana" w:cs="Times New Roman"/>
          <w:sz w:val="20"/>
          <w:szCs w:val="20"/>
        </w:rPr>
        <w:t>parte</w:t>
      </w:r>
      <w:proofErr w:type="spellEnd"/>
      <w:r w:rsidRPr="00E95823">
        <w:rPr>
          <w:rFonts w:ascii="Verdana" w:eastAsia="Times New Roman" w:hAnsi="Verdana" w:cs="Times New Roman"/>
          <w:sz w:val="20"/>
          <w:szCs w:val="20"/>
        </w:rPr>
        <w:t xml:space="preserve"> communication prohibitions. Disclosure of such communications by a member of the </w:t>
      </w:r>
      <w:proofErr w:type="spellStart"/>
      <w:r w:rsidRPr="00E95823">
        <w:rPr>
          <w:rFonts w:ascii="Verdana" w:eastAsia="Times New Roman" w:hAnsi="Verdana" w:cs="Times New Roman"/>
          <w:sz w:val="20"/>
          <w:szCs w:val="20"/>
        </w:rPr>
        <w:t>decisionmaking</w:t>
      </w:r>
      <w:proofErr w:type="spellEnd"/>
      <w:r w:rsidRPr="00E95823">
        <w:rPr>
          <w:rFonts w:ascii="Verdana" w:eastAsia="Times New Roman" w:hAnsi="Verdana" w:cs="Times New Roman"/>
          <w:sz w:val="20"/>
          <w:szCs w:val="20"/>
        </w:rPr>
        <w:t xml:space="preserve"> body is not required, and such nondisclosure shall not be presumed prejudicial to the decision of </w:t>
      </w:r>
      <w:r w:rsidRPr="00E95823">
        <w:rPr>
          <w:rFonts w:ascii="Verdana" w:eastAsia="Times New Roman" w:hAnsi="Verdana" w:cs="Times New Roman"/>
          <w:sz w:val="20"/>
          <w:szCs w:val="20"/>
        </w:rPr>
        <w:lastRenderedPageBreak/>
        <w:t xml:space="preserve">the </w:t>
      </w:r>
      <w:proofErr w:type="spellStart"/>
      <w:r w:rsidRPr="00E95823">
        <w:rPr>
          <w:rFonts w:ascii="Verdana" w:eastAsia="Times New Roman" w:hAnsi="Verdana" w:cs="Times New Roman"/>
          <w:sz w:val="20"/>
          <w:szCs w:val="20"/>
        </w:rPr>
        <w:t>decisionmaking</w:t>
      </w:r>
      <w:proofErr w:type="spellEnd"/>
      <w:r w:rsidRPr="00E95823">
        <w:rPr>
          <w:rFonts w:ascii="Verdana" w:eastAsia="Times New Roman" w:hAnsi="Verdana" w:cs="Times New Roman"/>
          <w:sz w:val="20"/>
          <w:szCs w:val="20"/>
        </w:rPr>
        <w:t xml:space="preserve"> body. All decisions of the </w:t>
      </w:r>
      <w:proofErr w:type="spellStart"/>
      <w:r w:rsidRPr="00E95823">
        <w:rPr>
          <w:rFonts w:ascii="Verdana" w:eastAsia="Times New Roman" w:hAnsi="Verdana" w:cs="Times New Roman"/>
          <w:sz w:val="20"/>
          <w:szCs w:val="20"/>
        </w:rPr>
        <w:t>decisionmaking</w:t>
      </w:r>
      <w:proofErr w:type="spellEnd"/>
      <w:r w:rsidRPr="00E95823">
        <w:rPr>
          <w:rFonts w:ascii="Verdana" w:eastAsia="Times New Roman" w:hAnsi="Verdana" w:cs="Times New Roman"/>
          <w:sz w:val="20"/>
          <w:szCs w:val="20"/>
        </w:rPr>
        <w:t xml:space="preserve"> body in a quasi-judicial proceeding on local government land use matters must be supported by substantial, competent evidence in the record pertinent to the proceeding, irrespective of such communications.</w:t>
      </w:r>
    </w:p>
    <w:p w14:paraId="70DE3896" w14:textId="77777777" w:rsidR="00E95823" w:rsidRPr="00E95823" w:rsidRDefault="00E95823" w:rsidP="00E95823">
      <w:pPr>
        <w:pStyle w:val="ListParagraph"/>
        <w:numPr>
          <w:ilvl w:val="0"/>
          <w:numId w:val="11"/>
        </w:numPr>
        <w:spacing w:after="0" w:line="240" w:lineRule="auto"/>
        <w:rPr>
          <w:rFonts w:ascii="Verdana" w:eastAsia="Times New Roman" w:hAnsi="Verdana" w:cs="Times New Roman"/>
          <w:sz w:val="20"/>
          <w:szCs w:val="20"/>
        </w:rPr>
      </w:pPr>
      <w:r w:rsidRPr="00E95823">
        <w:rPr>
          <w:rFonts w:ascii="Verdana" w:eastAsia="Times New Roman" w:hAnsi="Verdana" w:cs="Times New Roman"/>
          <w:sz w:val="20"/>
          <w:szCs w:val="20"/>
        </w:rPr>
        <w:t>(3)</w:t>
      </w:r>
      <w:r w:rsidRPr="00E95823">
        <w:t> </w:t>
      </w:r>
      <w:r w:rsidRPr="00E95823">
        <w:rPr>
          <w:rFonts w:ascii="Verdana" w:eastAsia="Times New Roman" w:hAnsi="Verdana" w:cs="Times New Roman"/>
          <w:sz w:val="20"/>
          <w:szCs w:val="20"/>
        </w:rPr>
        <w:t>This section does not restrict the authority of any board or commission to establish rules or procedures governing public hearings or contacts with local public officials.</w:t>
      </w:r>
    </w:p>
    <w:p w14:paraId="13214201" w14:textId="249B072C" w:rsidR="00E95823" w:rsidRDefault="00E95823" w:rsidP="00E95823"/>
    <w:p w14:paraId="6A6EE4C5" w14:textId="5CF517F6" w:rsidR="00B72A2C" w:rsidRDefault="00B72A2C" w:rsidP="00B72A2C">
      <w:pPr>
        <w:pStyle w:val="ListParagraph"/>
        <w:numPr>
          <w:ilvl w:val="0"/>
          <w:numId w:val="13"/>
        </w:numPr>
      </w:pPr>
      <w:r>
        <w:t>Examples of quasi-judicial actions:</w:t>
      </w:r>
    </w:p>
    <w:p w14:paraId="41A5107C" w14:textId="5597630C" w:rsidR="00B72A2C" w:rsidRDefault="00B72A2C" w:rsidP="00B72A2C">
      <w:pPr>
        <w:pStyle w:val="ListParagraph"/>
        <w:numPr>
          <w:ilvl w:val="1"/>
          <w:numId w:val="13"/>
        </w:numPr>
      </w:pPr>
      <w:r>
        <w:t>Overlay zoning</w:t>
      </w:r>
    </w:p>
    <w:p w14:paraId="2BBFAE82" w14:textId="6534F224" w:rsidR="00B72A2C" w:rsidRDefault="00B72A2C" w:rsidP="00B72A2C">
      <w:pPr>
        <w:pStyle w:val="ListParagraph"/>
        <w:numPr>
          <w:ilvl w:val="1"/>
          <w:numId w:val="13"/>
        </w:numPr>
      </w:pPr>
      <w:r>
        <w:t>Special exceptions and special permits</w:t>
      </w:r>
    </w:p>
    <w:p w14:paraId="3B3A3E0C" w14:textId="7207D12F" w:rsidR="00B72A2C" w:rsidRDefault="00B72A2C" w:rsidP="00B72A2C">
      <w:pPr>
        <w:pStyle w:val="ListParagraph"/>
        <w:numPr>
          <w:ilvl w:val="1"/>
          <w:numId w:val="13"/>
        </w:numPr>
      </w:pPr>
      <w:r>
        <w:t>Variances</w:t>
      </w:r>
    </w:p>
    <w:p w14:paraId="0D1BFBAE" w14:textId="2750B4DE" w:rsidR="00B72A2C" w:rsidRDefault="00B72A2C" w:rsidP="00B72A2C">
      <w:pPr>
        <w:pStyle w:val="ListParagraph"/>
        <w:numPr>
          <w:ilvl w:val="1"/>
          <w:numId w:val="13"/>
        </w:numPr>
      </w:pPr>
      <w:r>
        <w:t>Subdivision plats</w:t>
      </w:r>
    </w:p>
    <w:p w14:paraId="5E376F74" w14:textId="3872A9D4" w:rsidR="00B72A2C" w:rsidRDefault="00B72A2C" w:rsidP="00B72A2C">
      <w:pPr>
        <w:pStyle w:val="ListParagraph"/>
        <w:numPr>
          <w:ilvl w:val="1"/>
          <w:numId w:val="13"/>
        </w:numPr>
      </w:pPr>
      <w:r>
        <w:t>Site plans, building permits: generally quasi-judicial, but some authority suggests is executive decision not subject to cert review (2d DCA)</w:t>
      </w:r>
    </w:p>
    <w:p w14:paraId="21E9ECB4" w14:textId="7DBC72BF" w:rsidR="00B72A2C" w:rsidRDefault="00B72A2C" w:rsidP="00B72A2C">
      <w:pPr>
        <w:pStyle w:val="ListParagraph"/>
        <w:numPr>
          <w:ilvl w:val="1"/>
          <w:numId w:val="13"/>
        </w:numPr>
      </w:pPr>
      <w:r>
        <w:t>Annexations</w:t>
      </w:r>
    </w:p>
    <w:p w14:paraId="418AF881" w14:textId="3E9F4D75" w:rsidR="00B72A2C" w:rsidRDefault="00B72A2C" w:rsidP="00B72A2C">
      <w:pPr>
        <w:pStyle w:val="ListParagraph"/>
        <w:numPr>
          <w:ilvl w:val="0"/>
          <w:numId w:val="13"/>
        </w:numPr>
      </w:pPr>
      <w:r>
        <w:t>Examples of legislative actions:</w:t>
      </w:r>
    </w:p>
    <w:p w14:paraId="006B4445" w14:textId="0DEC2742" w:rsidR="00B72A2C" w:rsidRDefault="00B72A2C" w:rsidP="00B72A2C">
      <w:pPr>
        <w:pStyle w:val="ListParagraph"/>
        <w:numPr>
          <w:ilvl w:val="1"/>
          <w:numId w:val="13"/>
        </w:numPr>
      </w:pPr>
      <w:r>
        <w:t>Vacation of streets (but could be quasi-judicial under Snyder—unsettled)</w:t>
      </w:r>
    </w:p>
    <w:p w14:paraId="37AAB75D" w14:textId="1BEFD1E1" w:rsidR="00B72A2C" w:rsidRDefault="00B72A2C" w:rsidP="00B72A2C">
      <w:pPr>
        <w:pStyle w:val="ListParagraph"/>
        <w:numPr>
          <w:ilvl w:val="1"/>
          <w:numId w:val="13"/>
        </w:numPr>
      </w:pPr>
      <w:r>
        <w:t>Denials of permits to operate adult-oriented businesses</w:t>
      </w:r>
    </w:p>
    <w:p w14:paraId="534D9AF1" w14:textId="0737D6FF" w:rsidR="00B72A2C" w:rsidRDefault="00B72A2C" w:rsidP="00B72A2C">
      <w:pPr>
        <w:pStyle w:val="ListParagraph"/>
        <w:numPr>
          <w:ilvl w:val="1"/>
          <w:numId w:val="13"/>
        </w:numPr>
      </w:pPr>
      <w:r>
        <w:t>Comp plan amendments</w:t>
      </w:r>
    </w:p>
    <w:p w14:paraId="6EA46440" w14:textId="584334FF" w:rsidR="00E95823" w:rsidRDefault="00B72A2C" w:rsidP="00E95823">
      <w:r>
        <w:rPr>
          <w:u w:val="single"/>
        </w:rPr>
        <w:t>Development permits</w:t>
      </w:r>
    </w:p>
    <w:p w14:paraId="25551243" w14:textId="192B1496" w:rsidR="00B72A2C" w:rsidRPr="00B72A2C" w:rsidRDefault="00B72A2C" w:rsidP="00B72A2C">
      <w:pPr>
        <w:pStyle w:val="ListParagraph"/>
        <w:numPr>
          <w:ilvl w:val="0"/>
          <w:numId w:val="14"/>
        </w:numPr>
      </w:pPr>
      <w:r>
        <w:t xml:space="preserve">Must give written notice to applicant identifying the applicable ordinance, rule, or regulation as authority for denial.  </w:t>
      </w:r>
    </w:p>
    <w:p w14:paraId="22F771AB" w14:textId="41F1ACFE" w:rsidR="00E95823" w:rsidRDefault="00E95823" w:rsidP="00E95823">
      <w:r>
        <w:rPr>
          <w:u w:val="single"/>
        </w:rPr>
        <w:t>Development orders</w:t>
      </w:r>
    </w:p>
    <w:p w14:paraId="6F8676D2" w14:textId="7BC363BB" w:rsidR="00E95823" w:rsidRDefault="00E95823" w:rsidP="00E95823">
      <w:pPr>
        <w:pStyle w:val="ListParagraph"/>
        <w:numPr>
          <w:ilvl w:val="0"/>
          <w:numId w:val="12"/>
        </w:numPr>
      </w:pPr>
      <w:r>
        <w:t xml:space="preserve">Exclusive method of whether consistent with comp plan is under 163.3215.  </w:t>
      </w:r>
    </w:p>
    <w:p w14:paraId="37429600" w14:textId="77777777" w:rsidR="00E95823" w:rsidRPr="00E95823" w:rsidRDefault="00E95823" w:rsidP="00E95823">
      <w:pPr>
        <w:pStyle w:val="ListParagraph"/>
        <w:numPr>
          <w:ilvl w:val="0"/>
          <w:numId w:val="12"/>
        </w:numPr>
        <w:spacing w:after="0" w:line="240" w:lineRule="auto"/>
        <w:rPr>
          <w:rFonts w:ascii="Verdana" w:eastAsia="Times New Roman" w:hAnsi="Verdana" w:cs="Times New Roman"/>
          <w:sz w:val="20"/>
          <w:szCs w:val="20"/>
        </w:rPr>
      </w:pPr>
      <w:r w:rsidRPr="00E95823">
        <w:rPr>
          <w:rFonts w:ascii="Verdana" w:eastAsia="Times New Roman" w:hAnsi="Verdana" w:cs="Times New Roman"/>
          <w:sz w:val="20"/>
          <w:szCs w:val="20"/>
        </w:rPr>
        <w:t>(3)</w:t>
      </w:r>
      <w:r w:rsidRPr="00E95823">
        <w:t> </w:t>
      </w:r>
      <w:r w:rsidRPr="00E95823">
        <w:rPr>
          <w:rFonts w:ascii="Verdana" w:eastAsia="Times New Roman" w:hAnsi="Verdana" w:cs="Times New Roman"/>
          <w:sz w:val="20"/>
          <w:szCs w:val="20"/>
        </w:rPr>
        <w:t xml:space="preserve">Any aggrieved or adversely affected party may maintain a de novo action for declaratory, injunctive, or other relief against any local government to challenge any decision of such local government granting or denying an application for, or to prevent such local government from taking any action on, a development order, as defined in s. </w:t>
      </w:r>
      <w:hyperlink r:id="rId7" w:history="1">
        <w:r w:rsidRPr="00E95823">
          <w:rPr>
            <w:rFonts w:ascii="Verdana" w:eastAsia="Times New Roman" w:hAnsi="Verdana" w:cs="Times New Roman"/>
            <w:color w:val="0000FF"/>
            <w:sz w:val="20"/>
            <w:szCs w:val="20"/>
            <w:u w:val="single"/>
          </w:rPr>
          <w:t>163.3164</w:t>
        </w:r>
      </w:hyperlink>
      <w:r w:rsidRPr="00E95823">
        <w:rPr>
          <w:rFonts w:ascii="Verdana" w:eastAsia="Times New Roman" w:hAnsi="Verdana" w:cs="Times New Roman"/>
          <w:sz w:val="20"/>
          <w:szCs w:val="20"/>
        </w:rPr>
        <w:t>, which materially alters the use or density or intensity of use on a particular piece of property which is not consistent with the comprehensive plan adopted under this part. The de novo action must be filed no later than 30 days following rendition of a development order or other written decision, or when all local administrative appeals, if any, are exhausted, whichever occurs later.</w:t>
      </w:r>
    </w:p>
    <w:p w14:paraId="10813F44" w14:textId="77777777" w:rsidR="00E95823" w:rsidRPr="00E95823" w:rsidRDefault="00E95823" w:rsidP="00E95823">
      <w:pPr>
        <w:pStyle w:val="ListParagraph"/>
        <w:numPr>
          <w:ilvl w:val="0"/>
          <w:numId w:val="12"/>
        </w:numPr>
        <w:spacing w:after="0" w:line="240" w:lineRule="auto"/>
        <w:rPr>
          <w:rFonts w:ascii="Verdana" w:eastAsia="Times New Roman" w:hAnsi="Verdana" w:cs="Times New Roman"/>
          <w:sz w:val="20"/>
          <w:szCs w:val="20"/>
        </w:rPr>
      </w:pPr>
      <w:r w:rsidRPr="00E95823">
        <w:rPr>
          <w:rFonts w:ascii="Verdana" w:eastAsia="Times New Roman" w:hAnsi="Verdana" w:cs="Times New Roman"/>
          <w:sz w:val="20"/>
          <w:szCs w:val="20"/>
        </w:rPr>
        <w:t>(4)</w:t>
      </w:r>
      <w:r w:rsidRPr="00E95823">
        <w:t> </w:t>
      </w:r>
      <w:r w:rsidRPr="00E95823">
        <w:rPr>
          <w:rFonts w:ascii="Verdana" w:eastAsia="Times New Roman" w:hAnsi="Verdana" w:cs="Times New Roman"/>
          <w:sz w:val="20"/>
          <w:szCs w:val="20"/>
        </w:rPr>
        <w:t xml:space="preserve">If a local government elects to adopt or has adopted an ordinance establishing, at a minimum, the requirements listed in this subsection, the sole method by which an aggrieved and adversely affected party may challenge any decision of local government granting or denying an application for a development order, as defined in s. </w:t>
      </w:r>
      <w:hyperlink r:id="rId8" w:history="1">
        <w:r w:rsidRPr="00E95823">
          <w:rPr>
            <w:rFonts w:ascii="Verdana" w:eastAsia="Times New Roman" w:hAnsi="Verdana" w:cs="Times New Roman"/>
            <w:color w:val="0000FF"/>
            <w:sz w:val="20"/>
            <w:szCs w:val="20"/>
            <w:u w:val="single"/>
          </w:rPr>
          <w:t>163.3164</w:t>
        </w:r>
      </w:hyperlink>
      <w:r w:rsidRPr="00E95823">
        <w:rPr>
          <w:rFonts w:ascii="Verdana" w:eastAsia="Times New Roman" w:hAnsi="Verdana" w:cs="Times New Roman"/>
          <w:sz w:val="20"/>
          <w:szCs w:val="20"/>
        </w:rPr>
        <w:t xml:space="preserve">, which materially alters the use or density or intensity of use on a particular piece of property, on the basis that it is not consistent with the comprehensive plan adopted under this part, is by an appeal filed by a petition for writ of certiorari filed in circuit court no later than 30 days following rendition of a development order or other written decision of the local government, or when all local administrative appeals, if any, are exhausted, whichever occurs later. An action for injunctive or other relief may be joined with the petition for certiorari. Principles </w:t>
      </w:r>
      <w:r w:rsidRPr="00E95823">
        <w:rPr>
          <w:rFonts w:ascii="Verdana" w:eastAsia="Times New Roman" w:hAnsi="Verdana" w:cs="Times New Roman"/>
          <w:sz w:val="20"/>
          <w:szCs w:val="20"/>
        </w:rPr>
        <w:lastRenderedPageBreak/>
        <w:t>of judicial or administrative res judicata and collateral estoppel apply to these proceedings. Minimum components of the local process are as follows:</w:t>
      </w:r>
    </w:p>
    <w:p w14:paraId="4964CF32" w14:textId="77777777" w:rsidR="00E95823" w:rsidRPr="00E95823" w:rsidRDefault="00E95823" w:rsidP="00E95823">
      <w:pPr>
        <w:pStyle w:val="ListParagraph"/>
        <w:numPr>
          <w:ilvl w:val="0"/>
          <w:numId w:val="12"/>
        </w:numPr>
        <w:spacing w:after="0" w:line="240" w:lineRule="auto"/>
        <w:rPr>
          <w:rFonts w:ascii="Verdana" w:eastAsia="Times New Roman" w:hAnsi="Verdana" w:cs="Times New Roman"/>
          <w:sz w:val="20"/>
          <w:szCs w:val="20"/>
        </w:rPr>
      </w:pPr>
      <w:r w:rsidRPr="00E95823">
        <w:rPr>
          <w:rFonts w:ascii="Verdana" w:eastAsia="Times New Roman" w:hAnsi="Verdana" w:cs="Times New Roman"/>
          <w:sz w:val="20"/>
          <w:szCs w:val="20"/>
        </w:rPr>
        <w:t>(a)</w:t>
      </w:r>
      <w:r w:rsidRPr="00E95823">
        <w:t> </w:t>
      </w:r>
      <w:r w:rsidRPr="00E95823">
        <w:rPr>
          <w:rFonts w:ascii="Verdana" w:eastAsia="Times New Roman" w:hAnsi="Verdana" w:cs="Times New Roman"/>
          <w:sz w:val="20"/>
          <w:szCs w:val="20"/>
        </w:rPr>
        <w:t xml:space="preserve">The local process must make provision for notice of an application for a development order that materially alters the use or density or intensity of use on a particular piece of property, including notice by publication or mailed notice consistent with the provisions of ss. </w:t>
      </w:r>
      <w:hyperlink r:id="rId9" w:history="1">
        <w:r w:rsidRPr="00E95823">
          <w:rPr>
            <w:rFonts w:ascii="Verdana" w:eastAsia="Times New Roman" w:hAnsi="Verdana" w:cs="Times New Roman"/>
            <w:color w:val="0000FF"/>
            <w:sz w:val="20"/>
            <w:szCs w:val="20"/>
            <w:u w:val="single"/>
          </w:rPr>
          <w:t>125.66</w:t>
        </w:r>
      </w:hyperlink>
      <w:r w:rsidRPr="00E95823">
        <w:rPr>
          <w:rFonts w:ascii="Verdana" w:eastAsia="Times New Roman" w:hAnsi="Verdana" w:cs="Times New Roman"/>
          <w:sz w:val="20"/>
          <w:szCs w:val="20"/>
        </w:rPr>
        <w:t>(4)(b)2. and 3. and 166.041(3)(c)</w:t>
      </w:r>
      <w:proofErr w:type="gramStart"/>
      <w:r w:rsidRPr="00E95823">
        <w:rPr>
          <w:rFonts w:ascii="Verdana" w:eastAsia="Times New Roman" w:hAnsi="Verdana" w:cs="Times New Roman"/>
          <w:sz w:val="20"/>
          <w:szCs w:val="20"/>
        </w:rPr>
        <w:t>2.b.</w:t>
      </w:r>
      <w:proofErr w:type="gramEnd"/>
      <w:r w:rsidRPr="00E95823">
        <w:rPr>
          <w:rFonts w:ascii="Verdana" w:eastAsia="Times New Roman" w:hAnsi="Verdana" w:cs="Times New Roman"/>
          <w:sz w:val="20"/>
          <w:szCs w:val="20"/>
        </w:rPr>
        <w:t xml:space="preserve"> and c., and must require prominent posting at the job site. The notice must be given within 10 days after the filing of an application for a development order; however, notice under this subsection is not required for an application for a building permit or any other official action of local government which does not materially alter the use or density or intensity of use on a particular piece of property. The notice must clearly delineate that an aggrieved or adversely affected person has the right to request a quasi-judicial hearing before the local government for which the application is made, must explain the conditions precedent to the appeal of any development order ultimately rendered upon the application, and must specify the location where written procedures can be obtained that describe the process, including how to initiate the quasi-judicial process, the timeframes for initiating the process, and the location of the hearing. The process may include an opportunity for an alternative dispute resolution.</w:t>
      </w:r>
    </w:p>
    <w:p w14:paraId="3B6D938C" w14:textId="77777777" w:rsidR="00E95823" w:rsidRPr="00E95823" w:rsidRDefault="00E95823" w:rsidP="00E95823">
      <w:pPr>
        <w:pStyle w:val="ListParagraph"/>
        <w:numPr>
          <w:ilvl w:val="0"/>
          <w:numId w:val="12"/>
        </w:numPr>
        <w:spacing w:after="0" w:line="240" w:lineRule="auto"/>
        <w:rPr>
          <w:rFonts w:ascii="Verdana" w:eastAsia="Times New Roman" w:hAnsi="Verdana" w:cs="Times New Roman"/>
          <w:sz w:val="20"/>
          <w:szCs w:val="20"/>
        </w:rPr>
      </w:pPr>
      <w:r w:rsidRPr="00E95823">
        <w:rPr>
          <w:rFonts w:ascii="Verdana" w:eastAsia="Times New Roman" w:hAnsi="Verdana" w:cs="Times New Roman"/>
          <w:sz w:val="20"/>
          <w:szCs w:val="20"/>
        </w:rPr>
        <w:t>(b)</w:t>
      </w:r>
      <w:r w:rsidRPr="00E95823">
        <w:t> </w:t>
      </w:r>
      <w:r w:rsidRPr="00E95823">
        <w:rPr>
          <w:rFonts w:ascii="Verdana" w:eastAsia="Times New Roman" w:hAnsi="Verdana" w:cs="Times New Roman"/>
          <w:sz w:val="20"/>
          <w:szCs w:val="20"/>
        </w:rPr>
        <w:t>The local process must provide a clear point of entry consisting of a written preliminary decision, at a time and in a manner to be established in the local ordinance, with the time to request a quasi-judicial hearing running from the issuance of the written preliminary decision; the local government, however, is not bound by the preliminary decision. A party may request a hearing to challenge or support a preliminary decision.</w:t>
      </w:r>
    </w:p>
    <w:p w14:paraId="75C2284A" w14:textId="77777777" w:rsidR="00E95823" w:rsidRPr="00E95823" w:rsidRDefault="00E95823" w:rsidP="00E95823">
      <w:pPr>
        <w:pStyle w:val="ListParagraph"/>
        <w:numPr>
          <w:ilvl w:val="0"/>
          <w:numId w:val="12"/>
        </w:numPr>
        <w:spacing w:after="0" w:line="240" w:lineRule="auto"/>
        <w:rPr>
          <w:rFonts w:ascii="Verdana" w:eastAsia="Times New Roman" w:hAnsi="Verdana" w:cs="Times New Roman"/>
          <w:sz w:val="20"/>
          <w:szCs w:val="20"/>
        </w:rPr>
      </w:pPr>
      <w:r w:rsidRPr="00E95823">
        <w:rPr>
          <w:rFonts w:ascii="Verdana" w:eastAsia="Times New Roman" w:hAnsi="Verdana" w:cs="Times New Roman"/>
          <w:sz w:val="20"/>
          <w:szCs w:val="20"/>
        </w:rPr>
        <w:t>(c)</w:t>
      </w:r>
      <w:r w:rsidRPr="00E95823">
        <w:t> </w:t>
      </w:r>
      <w:r w:rsidRPr="00E95823">
        <w:rPr>
          <w:rFonts w:ascii="Verdana" w:eastAsia="Times New Roman" w:hAnsi="Verdana" w:cs="Times New Roman"/>
          <w:sz w:val="20"/>
          <w:szCs w:val="20"/>
        </w:rPr>
        <w:t>The local process must provide an opportunity for participation in the process by an aggrieved or adversely affected party, allowing a reasonable time for the party to prepare and present a case for the quasi-judicial hearing.</w:t>
      </w:r>
    </w:p>
    <w:p w14:paraId="34909532" w14:textId="77777777" w:rsidR="00E95823" w:rsidRPr="00E95823" w:rsidRDefault="00E95823" w:rsidP="00E95823">
      <w:pPr>
        <w:pStyle w:val="ListParagraph"/>
        <w:numPr>
          <w:ilvl w:val="0"/>
          <w:numId w:val="12"/>
        </w:numPr>
        <w:spacing w:after="0" w:line="240" w:lineRule="auto"/>
        <w:rPr>
          <w:rFonts w:ascii="Verdana" w:eastAsia="Times New Roman" w:hAnsi="Verdana" w:cs="Times New Roman"/>
          <w:sz w:val="20"/>
          <w:szCs w:val="20"/>
        </w:rPr>
      </w:pPr>
      <w:r w:rsidRPr="00E95823">
        <w:rPr>
          <w:rFonts w:ascii="Verdana" w:eastAsia="Times New Roman" w:hAnsi="Verdana" w:cs="Times New Roman"/>
          <w:sz w:val="20"/>
          <w:szCs w:val="20"/>
        </w:rPr>
        <w:t>(d)</w:t>
      </w:r>
      <w:r w:rsidRPr="00E95823">
        <w:t> </w:t>
      </w:r>
      <w:r w:rsidRPr="00E95823">
        <w:rPr>
          <w:rFonts w:ascii="Verdana" w:eastAsia="Times New Roman" w:hAnsi="Verdana" w:cs="Times New Roman"/>
          <w:sz w:val="20"/>
          <w:szCs w:val="20"/>
        </w:rPr>
        <w:t>The local process must provide, at a minimum, an opportunity for the disclosure of witnesses and exhibits prior to hearing and an opportunity for the depositions of witnesses to be taken.</w:t>
      </w:r>
    </w:p>
    <w:p w14:paraId="29B871D0" w14:textId="77777777" w:rsidR="00E95823" w:rsidRPr="00E95823" w:rsidRDefault="00E95823" w:rsidP="00E95823">
      <w:pPr>
        <w:pStyle w:val="ListParagraph"/>
        <w:numPr>
          <w:ilvl w:val="0"/>
          <w:numId w:val="12"/>
        </w:numPr>
        <w:spacing w:after="0" w:line="240" w:lineRule="auto"/>
        <w:rPr>
          <w:rFonts w:ascii="Verdana" w:eastAsia="Times New Roman" w:hAnsi="Verdana" w:cs="Times New Roman"/>
          <w:sz w:val="20"/>
          <w:szCs w:val="20"/>
        </w:rPr>
      </w:pPr>
      <w:r w:rsidRPr="00E95823">
        <w:rPr>
          <w:rFonts w:ascii="Verdana" w:eastAsia="Times New Roman" w:hAnsi="Verdana" w:cs="Times New Roman"/>
          <w:sz w:val="20"/>
          <w:szCs w:val="20"/>
        </w:rPr>
        <w:t>(e)</w:t>
      </w:r>
      <w:r w:rsidRPr="00E95823">
        <w:t> </w:t>
      </w:r>
      <w:r w:rsidRPr="00E95823">
        <w:rPr>
          <w:rFonts w:ascii="Verdana" w:eastAsia="Times New Roman" w:hAnsi="Verdana" w:cs="Times New Roman"/>
          <w:sz w:val="20"/>
          <w:szCs w:val="20"/>
        </w:rPr>
        <w:t>The local process may not require that a party be represented by an attorney in order to participate in a hearing.</w:t>
      </w:r>
    </w:p>
    <w:p w14:paraId="23F2F974" w14:textId="77777777" w:rsidR="00E95823" w:rsidRPr="00E95823" w:rsidRDefault="00E95823" w:rsidP="00E95823">
      <w:pPr>
        <w:pStyle w:val="ListParagraph"/>
        <w:numPr>
          <w:ilvl w:val="0"/>
          <w:numId w:val="12"/>
        </w:numPr>
        <w:spacing w:after="0" w:line="240" w:lineRule="auto"/>
        <w:rPr>
          <w:rFonts w:ascii="Verdana" w:eastAsia="Times New Roman" w:hAnsi="Verdana" w:cs="Times New Roman"/>
          <w:sz w:val="20"/>
          <w:szCs w:val="20"/>
        </w:rPr>
      </w:pPr>
      <w:r w:rsidRPr="00E95823">
        <w:rPr>
          <w:rFonts w:ascii="Verdana" w:eastAsia="Times New Roman" w:hAnsi="Verdana" w:cs="Times New Roman"/>
          <w:sz w:val="20"/>
          <w:szCs w:val="20"/>
        </w:rPr>
        <w:t>(f)</w:t>
      </w:r>
      <w:r w:rsidRPr="00E95823">
        <w:t> </w:t>
      </w:r>
      <w:r w:rsidRPr="00E95823">
        <w:rPr>
          <w:rFonts w:ascii="Verdana" w:eastAsia="Times New Roman" w:hAnsi="Verdana" w:cs="Times New Roman"/>
          <w:sz w:val="20"/>
          <w:szCs w:val="20"/>
        </w:rPr>
        <w:t>The local process must provide for a quasi-judicial hearing before an impartial special master who is an attorney who has at least 5 years’ experience and who shall, at the conclusion of the hearing, recommend written findings of fact and conclusions of law. The special master shall have the power to swear witnesses and take their testimony under oath, to issue subpoenas and other orders regarding the conduct of the proceedings, and to compel entry upon the land. The standard of review applied by the special master in determining whether a proposed development order is consistent with the comprehensive plan shall be strict scrutiny in accordance with Florida law.</w:t>
      </w:r>
    </w:p>
    <w:p w14:paraId="3B589628" w14:textId="77777777" w:rsidR="00E95823" w:rsidRPr="00E95823" w:rsidRDefault="00E95823" w:rsidP="00E95823">
      <w:pPr>
        <w:pStyle w:val="ListParagraph"/>
        <w:numPr>
          <w:ilvl w:val="0"/>
          <w:numId w:val="12"/>
        </w:numPr>
        <w:spacing w:after="0" w:line="240" w:lineRule="auto"/>
        <w:rPr>
          <w:rFonts w:ascii="Verdana" w:eastAsia="Times New Roman" w:hAnsi="Verdana" w:cs="Times New Roman"/>
          <w:sz w:val="20"/>
          <w:szCs w:val="20"/>
        </w:rPr>
      </w:pPr>
      <w:r w:rsidRPr="00E95823">
        <w:rPr>
          <w:rFonts w:ascii="Verdana" w:eastAsia="Times New Roman" w:hAnsi="Verdana" w:cs="Times New Roman"/>
          <w:sz w:val="20"/>
          <w:szCs w:val="20"/>
        </w:rPr>
        <w:t>(g)</w:t>
      </w:r>
      <w:r w:rsidRPr="00E95823">
        <w:t> </w:t>
      </w:r>
      <w:r w:rsidRPr="00E95823">
        <w:rPr>
          <w:rFonts w:ascii="Verdana" w:eastAsia="Times New Roman" w:hAnsi="Verdana" w:cs="Times New Roman"/>
          <w:sz w:val="20"/>
          <w:szCs w:val="20"/>
        </w:rPr>
        <w:t>At the quasi-judicial hearing, all parties must have the opportunity to respond, to present evidence and argument on all issues involved which are related to the development order, and to conduct cross-examination and submit rebuttal evidence. Public testimony must be allowed.</w:t>
      </w:r>
    </w:p>
    <w:p w14:paraId="50854D27" w14:textId="77777777" w:rsidR="00E95823" w:rsidRPr="00E95823" w:rsidRDefault="00E95823" w:rsidP="00E95823">
      <w:pPr>
        <w:pStyle w:val="ListParagraph"/>
        <w:numPr>
          <w:ilvl w:val="0"/>
          <w:numId w:val="12"/>
        </w:numPr>
        <w:spacing w:after="0" w:line="240" w:lineRule="auto"/>
        <w:rPr>
          <w:rFonts w:ascii="Verdana" w:eastAsia="Times New Roman" w:hAnsi="Verdana" w:cs="Times New Roman"/>
          <w:sz w:val="20"/>
          <w:szCs w:val="20"/>
        </w:rPr>
      </w:pPr>
      <w:r w:rsidRPr="00E95823">
        <w:rPr>
          <w:rFonts w:ascii="Verdana" w:eastAsia="Times New Roman" w:hAnsi="Verdana" w:cs="Times New Roman"/>
          <w:sz w:val="20"/>
          <w:szCs w:val="20"/>
        </w:rPr>
        <w:t>(h)</w:t>
      </w:r>
      <w:r w:rsidRPr="00E95823">
        <w:t> </w:t>
      </w:r>
      <w:r w:rsidRPr="00E95823">
        <w:rPr>
          <w:rFonts w:ascii="Verdana" w:eastAsia="Times New Roman" w:hAnsi="Verdana" w:cs="Times New Roman"/>
          <w:sz w:val="20"/>
          <w:szCs w:val="20"/>
        </w:rPr>
        <w:t xml:space="preserve">The local process must provide for a duly noticed public hearing before the local government at which public testimony is allowed. At the quasi-judicial hearing, the local government is bound by the special master’s findings of fact unless the findings of fact are not supported by competent substantial evidence. The governing body may modify the conclusions of law if it finds that the special master’s application or interpretation of law is erroneous. The governing body may make reasonable legal </w:t>
      </w:r>
      <w:r w:rsidRPr="00E95823">
        <w:rPr>
          <w:rFonts w:ascii="Verdana" w:eastAsia="Times New Roman" w:hAnsi="Verdana" w:cs="Times New Roman"/>
          <w:sz w:val="20"/>
          <w:szCs w:val="20"/>
        </w:rPr>
        <w:lastRenderedPageBreak/>
        <w:t>interpretations of its comprehensive plan and land development regulations without regard to whether the special master’s interpretation is labeled as a finding of fact or a conclusion of law. The local government’s final decision must be reduced to writing, including the findings of fact and conclusions of law, and is not considered rendered or final until officially date-stamped by the city or county clerk.</w:t>
      </w:r>
    </w:p>
    <w:p w14:paraId="24EDBC18" w14:textId="77777777" w:rsidR="00E95823" w:rsidRPr="00E95823" w:rsidRDefault="00E95823" w:rsidP="00E95823">
      <w:pPr>
        <w:pStyle w:val="ListParagraph"/>
        <w:numPr>
          <w:ilvl w:val="0"/>
          <w:numId w:val="12"/>
        </w:numPr>
        <w:spacing w:after="0" w:line="240" w:lineRule="auto"/>
        <w:rPr>
          <w:rFonts w:ascii="Verdana" w:eastAsia="Times New Roman" w:hAnsi="Verdana" w:cs="Times New Roman"/>
          <w:sz w:val="20"/>
          <w:szCs w:val="20"/>
        </w:rPr>
      </w:pPr>
      <w:r w:rsidRPr="00E95823">
        <w:rPr>
          <w:rFonts w:ascii="Verdana" w:eastAsia="Times New Roman" w:hAnsi="Verdana" w:cs="Times New Roman"/>
          <w:sz w:val="20"/>
          <w:szCs w:val="20"/>
        </w:rPr>
        <w:t>(</w:t>
      </w:r>
      <w:proofErr w:type="spellStart"/>
      <w:r w:rsidRPr="00E95823">
        <w:rPr>
          <w:rFonts w:ascii="Verdana" w:eastAsia="Times New Roman" w:hAnsi="Verdana" w:cs="Times New Roman"/>
          <w:sz w:val="20"/>
          <w:szCs w:val="20"/>
        </w:rPr>
        <w:t>i</w:t>
      </w:r>
      <w:proofErr w:type="spellEnd"/>
      <w:r w:rsidRPr="00E95823">
        <w:rPr>
          <w:rFonts w:ascii="Verdana" w:eastAsia="Times New Roman" w:hAnsi="Verdana" w:cs="Times New Roman"/>
          <w:sz w:val="20"/>
          <w:szCs w:val="20"/>
        </w:rPr>
        <w:t>)</w:t>
      </w:r>
      <w:r w:rsidRPr="00E95823">
        <w:t> </w:t>
      </w:r>
      <w:r w:rsidRPr="00E95823">
        <w:rPr>
          <w:rFonts w:ascii="Verdana" w:eastAsia="Times New Roman" w:hAnsi="Verdana" w:cs="Times New Roman"/>
          <w:sz w:val="20"/>
          <w:szCs w:val="20"/>
        </w:rPr>
        <w:t xml:space="preserve">An ex </w:t>
      </w:r>
      <w:proofErr w:type="spellStart"/>
      <w:r w:rsidRPr="00E95823">
        <w:rPr>
          <w:rFonts w:ascii="Verdana" w:eastAsia="Times New Roman" w:hAnsi="Verdana" w:cs="Times New Roman"/>
          <w:sz w:val="20"/>
          <w:szCs w:val="20"/>
        </w:rPr>
        <w:t>parte</w:t>
      </w:r>
      <w:proofErr w:type="spellEnd"/>
      <w:r w:rsidRPr="00E95823">
        <w:rPr>
          <w:rFonts w:ascii="Verdana" w:eastAsia="Times New Roman" w:hAnsi="Verdana" w:cs="Times New Roman"/>
          <w:sz w:val="20"/>
          <w:szCs w:val="20"/>
        </w:rPr>
        <w:t xml:space="preserve"> communication relating to the merits of the matter under review may not be made to the special master. An ex </w:t>
      </w:r>
      <w:proofErr w:type="spellStart"/>
      <w:r w:rsidRPr="00E95823">
        <w:rPr>
          <w:rFonts w:ascii="Verdana" w:eastAsia="Times New Roman" w:hAnsi="Verdana" w:cs="Times New Roman"/>
          <w:sz w:val="20"/>
          <w:szCs w:val="20"/>
        </w:rPr>
        <w:t>parte</w:t>
      </w:r>
      <w:proofErr w:type="spellEnd"/>
      <w:r w:rsidRPr="00E95823">
        <w:rPr>
          <w:rFonts w:ascii="Verdana" w:eastAsia="Times New Roman" w:hAnsi="Verdana" w:cs="Times New Roman"/>
          <w:sz w:val="20"/>
          <w:szCs w:val="20"/>
        </w:rPr>
        <w:t xml:space="preserve"> communication relating to the merits of the matter under review may not be made to the governing body after a time to be established by the local ordinance, which time must be no later than receipt of the special master’s recommended order by the governing body.</w:t>
      </w:r>
    </w:p>
    <w:p w14:paraId="4F559FE9" w14:textId="77777777" w:rsidR="00E95823" w:rsidRPr="00E95823" w:rsidRDefault="00E95823" w:rsidP="00E95823">
      <w:pPr>
        <w:pStyle w:val="ListParagraph"/>
        <w:numPr>
          <w:ilvl w:val="0"/>
          <w:numId w:val="12"/>
        </w:numPr>
        <w:spacing w:after="0" w:line="240" w:lineRule="auto"/>
        <w:rPr>
          <w:rFonts w:ascii="Verdana" w:eastAsia="Times New Roman" w:hAnsi="Verdana" w:cs="Times New Roman"/>
          <w:sz w:val="20"/>
          <w:szCs w:val="20"/>
        </w:rPr>
      </w:pPr>
      <w:r w:rsidRPr="00E95823">
        <w:rPr>
          <w:rFonts w:ascii="Verdana" w:eastAsia="Times New Roman" w:hAnsi="Verdana" w:cs="Times New Roman"/>
          <w:sz w:val="20"/>
          <w:szCs w:val="20"/>
        </w:rPr>
        <w:t>(j)</w:t>
      </w:r>
      <w:r w:rsidRPr="00E95823">
        <w:t> </w:t>
      </w:r>
      <w:r w:rsidRPr="00E95823">
        <w:rPr>
          <w:rFonts w:ascii="Verdana" w:eastAsia="Times New Roman" w:hAnsi="Verdana" w:cs="Times New Roman"/>
          <w:sz w:val="20"/>
          <w:szCs w:val="20"/>
        </w:rPr>
        <w:t>At the option of the local government, the process may require actions to challenge the consistency of a development order with land development regulations to be brought in the same proceeding.</w:t>
      </w:r>
    </w:p>
    <w:p w14:paraId="22E49A84" w14:textId="77777777" w:rsidR="00E95823" w:rsidRPr="00E95823" w:rsidRDefault="00E95823" w:rsidP="00E95823">
      <w:pPr>
        <w:pStyle w:val="ListParagraph"/>
        <w:numPr>
          <w:ilvl w:val="0"/>
          <w:numId w:val="12"/>
        </w:numPr>
        <w:spacing w:after="0" w:line="240" w:lineRule="auto"/>
        <w:rPr>
          <w:rFonts w:ascii="Verdana" w:eastAsia="Times New Roman" w:hAnsi="Verdana" w:cs="Times New Roman"/>
          <w:sz w:val="20"/>
          <w:szCs w:val="20"/>
        </w:rPr>
      </w:pPr>
      <w:r w:rsidRPr="00E95823">
        <w:rPr>
          <w:rFonts w:ascii="Verdana" w:eastAsia="Times New Roman" w:hAnsi="Verdana" w:cs="Times New Roman"/>
          <w:sz w:val="20"/>
          <w:szCs w:val="20"/>
        </w:rPr>
        <w:t>(5)</w:t>
      </w:r>
      <w:r w:rsidRPr="00E95823">
        <w:t> </w:t>
      </w:r>
      <w:r w:rsidRPr="00E95823">
        <w:rPr>
          <w:rFonts w:ascii="Verdana" w:eastAsia="Times New Roman" w:hAnsi="Verdana" w:cs="Times New Roman"/>
          <w:sz w:val="20"/>
          <w:szCs w:val="20"/>
        </w:rPr>
        <w:t>Venue in any cases brought under this section shall lie in the county or counties where the actions or inactions giving rise to the cause of action are alleged to have occurred.</w:t>
      </w:r>
    </w:p>
    <w:p w14:paraId="370890DF" w14:textId="77777777" w:rsidR="00E95823" w:rsidRPr="00E95823" w:rsidRDefault="00E95823" w:rsidP="00E95823">
      <w:pPr>
        <w:pStyle w:val="ListParagraph"/>
        <w:numPr>
          <w:ilvl w:val="0"/>
          <w:numId w:val="12"/>
        </w:numPr>
        <w:spacing w:after="0" w:line="240" w:lineRule="auto"/>
        <w:rPr>
          <w:rFonts w:ascii="Verdana" w:eastAsia="Times New Roman" w:hAnsi="Verdana" w:cs="Times New Roman"/>
          <w:sz w:val="20"/>
          <w:szCs w:val="20"/>
        </w:rPr>
      </w:pPr>
      <w:r w:rsidRPr="00E95823">
        <w:rPr>
          <w:rFonts w:ascii="Verdana" w:eastAsia="Times New Roman" w:hAnsi="Verdana" w:cs="Times New Roman"/>
          <w:sz w:val="20"/>
          <w:szCs w:val="20"/>
        </w:rPr>
        <w:t>(6)</w:t>
      </w:r>
      <w:r w:rsidRPr="00E95823">
        <w:t> </w:t>
      </w:r>
      <w:r w:rsidRPr="00E95823">
        <w:rPr>
          <w:rFonts w:ascii="Verdana" w:eastAsia="Times New Roman" w:hAnsi="Verdana" w:cs="Times New Roman"/>
          <w:sz w:val="20"/>
          <w:szCs w:val="20"/>
        </w:rPr>
        <w:t>The signature of an attorney or party constitutes a certificate that he or she has read the pleading, motion, or other paper and that, to the best of his or her knowledge, information, and belief formed after reasonable inquiry, it is not interposed for any improper purpose, such as to harass or to cause unnecessary delay or for economic advantage, competitive reasons or frivolous purposes or needless increase in the cost of litigation. If a pleading, motion, or other paper is signed in violation of these requirements, the court, upon motion or its own initiative, shall impose upon the person who signed it, a represented party, or both, an appropriate sanction, which may include an order to pay to the other party or parties the amount of reasonable expenses incurred because of the filing of the pleading, motion, or other paper, including a reasonable attorney’s fee.</w:t>
      </w:r>
    </w:p>
    <w:p w14:paraId="5EAA8976" w14:textId="77777777" w:rsidR="00E95823" w:rsidRPr="00E95823" w:rsidRDefault="00E95823" w:rsidP="00E95823">
      <w:pPr>
        <w:pStyle w:val="ListParagraph"/>
        <w:numPr>
          <w:ilvl w:val="0"/>
          <w:numId w:val="12"/>
        </w:numPr>
        <w:spacing w:after="0" w:line="240" w:lineRule="auto"/>
        <w:rPr>
          <w:rFonts w:ascii="Verdana" w:eastAsia="Times New Roman" w:hAnsi="Verdana" w:cs="Times New Roman"/>
          <w:sz w:val="20"/>
          <w:szCs w:val="20"/>
        </w:rPr>
      </w:pPr>
      <w:r w:rsidRPr="00E95823">
        <w:rPr>
          <w:rFonts w:ascii="Verdana" w:eastAsia="Times New Roman" w:hAnsi="Verdana" w:cs="Times New Roman"/>
          <w:sz w:val="20"/>
          <w:szCs w:val="20"/>
        </w:rPr>
        <w:t>(7)</w:t>
      </w:r>
      <w:r w:rsidRPr="00E95823">
        <w:t> </w:t>
      </w:r>
      <w:r w:rsidRPr="00E95823">
        <w:rPr>
          <w:rFonts w:ascii="Verdana" w:eastAsia="Times New Roman" w:hAnsi="Verdana" w:cs="Times New Roman"/>
          <w:sz w:val="20"/>
          <w:szCs w:val="20"/>
        </w:rPr>
        <w:t>In any proceeding under subsection (3) or subsection (4), no settlement shall be entered into by the local government unless the terms of the settlement have been the subject of a public hearing after notice as required by this part.</w:t>
      </w:r>
    </w:p>
    <w:p w14:paraId="4F685486" w14:textId="77777777" w:rsidR="00E95823" w:rsidRPr="00E95823" w:rsidRDefault="00E95823" w:rsidP="00E95823">
      <w:pPr>
        <w:pStyle w:val="ListParagraph"/>
        <w:numPr>
          <w:ilvl w:val="0"/>
          <w:numId w:val="12"/>
        </w:numPr>
        <w:spacing w:after="0" w:line="240" w:lineRule="auto"/>
        <w:rPr>
          <w:rFonts w:ascii="Verdana" w:eastAsia="Times New Roman" w:hAnsi="Verdana" w:cs="Times New Roman"/>
          <w:sz w:val="20"/>
          <w:szCs w:val="20"/>
        </w:rPr>
      </w:pPr>
      <w:r w:rsidRPr="00E95823">
        <w:rPr>
          <w:rFonts w:ascii="Verdana" w:eastAsia="Times New Roman" w:hAnsi="Verdana" w:cs="Times New Roman"/>
          <w:sz w:val="20"/>
          <w:szCs w:val="20"/>
        </w:rPr>
        <w:t>(8)</w:t>
      </w:r>
      <w:r w:rsidRPr="00E95823">
        <w:t> </w:t>
      </w:r>
      <w:r w:rsidRPr="00E95823">
        <w:rPr>
          <w:rFonts w:ascii="Verdana" w:eastAsia="Times New Roman" w:hAnsi="Verdana" w:cs="Times New Roman"/>
          <w:sz w:val="20"/>
          <w:szCs w:val="20"/>
        </w:rPr>
        <w:t>In any proceeding under subsection (3) or subsection (4), the Department of Legal Affairs may intervene to represent the interests of the state.</w:t>
      </w:r>
    </w:p>
    <w:p w14:paraId="707F7EA8" w14:textId="0A8573CB" w:rsidR="00E95823" w:rsidRDefault="00E95823" w:rsidP="00E95823">
      <w:pPr>
        <w:pStyle w:val="ListParagraph"/>
        <w:numPr>
          <w:ilvl w:val="0"/>
          <w:numId w:val="12"/>
        </w:numPr>
        <w:spacing w:after="0" w:line="240" w:lineRule="auto"/>
        <w:rPr>
          <w:rFonts w:ascii="Verdana" w:eastAsia="Times New Roman" w:hAnsi="Verdana" w:cs="Times New Roman"/>
          <w:sz w:val="20"/>
          <w:szCs w:val="20"/>
        </w:rPr>
      </w:pPr>
      <w:r w:rsidRPr="00E95823">
        <w:rPr>
          <w:rFonts w:ascii="Verdana" w:eastAsia="Times New Roman" w:hAnsi="Verdana" w:cs="Times New Roman"/>
          <w:sz w:val="20"/>
          <w:szCs w:val="20"/>
        </w:rPr>
        <w:t>(9)</w:t>
      </w:r>
      <w:r w:rsidRPr="00E95823">
        <w:t> </w:t>
      </w:r>
      <w:r w:rsidRPr="00E95823">
        <w:rPr>
          <w:rFonts w:ascii="Verdana" w:eastAsia="Times New Roman" w:hAnsi="Verdana" w:cs="Times New Roman"/>
          <w:sz w:val="20"/>
          <w:szCs w:val="20"/>
        </w:rPr>
        <w:t>Neither subsection (3) nor subsection (4) relieves the local government of its obligations to hold public hearings as required by law.</w:t>
      </w:r>
    </w:p>
    <w:p w14:paraId="3CB7DDFB" w14:textId="2CD59307" w:rsidR="00B72A2C" w:rsidRDefault="00B72A2C" w:rsidP="00B72A2C">
      <w:pPr>
        <w:spacing w:after="0" w:line="240" w:lineRule="auto"/>
        <w:rPr>
          <w:rFonts w:ascii="Verdana" w:eastAsia="Times New Roman" w:hAnsi="Verdana" w:cs="Times New Roman"/>
          <w:sz w:val="20"/>
          <w:szCs w:val="20"/>
        </w:rPr>
      </w:pPr>
    </w:p>
    <w:p w14:paraId="187630E9" w14:textId="093F2B6C" w:rsidR="00B72A2C" w:rsidRDefault="00B72A2C" w:rsidP="00B72A2C">
      <w:pPr>
        <w:spacing w:after="0" w:line="240" w:lineRule="auto"/>
        <w:rPr>
          <w:rFonts w:ascii="Verdana" w:eastAsia="Times New Roman" w:hAnsi="Verdana" w:cs="Times New Roman"/>
          <w:sz w:val="20"/>
          <w:szCs w:val="20"/>
        </w:rPr>
      </w:pPr>
    </w:p>
    <w:p w14:paraId="57717A5E" w14:textId="6CC942E3" w:rsidR="00B72A2C" w:rsidRDefault="00B72A2C" w:rsidP="00B72A2C">
      <w:pPr>
        <w:pStyle w:val="ListParagraph"/>
        <w:numPr>
          <w:ilvl w:val="0"/>
          <w:numId w:val="1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 xml:space="preserve">Development order is defined as any order granting </w:t>
      </w:r>
      <w:r w:rsidR="00C92BE7">
        <w:rPr>
          <w:rFonts w:ascii="Verdana" w:eastAsia="Times New Roman" w:hAnsi="Verdana" w:cs="Times New Roman"/>
          <w:sz w:val="20"/>
          <w:szCs w:val="20"/>
        </w:rPr>
        <w:t>denying or granting with conditions on application for a development permit</w:t>
      </w:r>
    </w:p>
    <w:p w14:paraId="0017E233" w14:textId="179E41AA" w:rsidR="00966BB2" w:rsidRDefault="00966BB2" w:rsidP="00966BB2">
      <w:pPr>
        <w:pStyle w:val="ListParagraph"/>
        <w:numPr>
          <w:ilvl w:val="1"/>
          <w:numId w:val="1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Development permit is any official action of a local government having the effect of permitting development of land</w:t>
      </w:r>
    </w:p>
    <w:p w14:paraId="2D49D001" w14:textId="214B830E" w:rsidR="00966BB2" w:rsidRDefault="00966BB2" w:rsidP="00966BB2">
      <w:pPr>
        <w:pStyle w:val="ListParagraph"/>
        <w:numPr>
          <w:ilvl w:val="2"/>
          <w:numId w:val="1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Includes subdivision plat</w:t>
      </w:r>
    </w:p>
    <w:p w14:paraId="68EF83C7" w14:textId="03C70BF6" w:rsidR="00966BB2" w:rsidRDefault="00966BB2" w:rsidP="00966BB2">
      <w:pPr>
        <w:pStyle w:val="ListParagraph"/>
        <w:numPr>
          <w:ilvl w:val="2"/>
          <w:numId w:val="1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Sewer and road improvements within existing rights of way were not development orders</w:t>
      </w:r>
    </w:p>
    <w:p w14:paraId="08FA7D26" w14:textId="68747537" w:rsidR="00966BB2" w:rsidRDefault="00966BB2" w:rsidP="00966BB2">
      <w:pPr>
        <w:pStyle w:val="ListParagraph"/>
        <w:numPr>
          <w:ilvl w:val="1"/>
          <w:numId w:val="1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 xml:space="preserve">Aggrieved or adversely affected parties includes broad range including local government, </w:t>
      </w:r>
      <w:proofErr w:type="gramStart"/>
      <w:r>
        <w:rPr>
          <w:rFonts w:ascii="Verdana" w:eastAsia="Times New Roman" w:hAnsi="Verdana" w:cs="Times New Roman"/>
          <w:sz w:val="20"/>
          <w:szCs w:val="20"/>
        </w:rPr>
        <w:t>neighbors</w:t>
      </w:r>
      <w:proofErr w:type="gramEnd"/>
      <w:r>
        <w:rPr>
          <w:rFonts w:ascii="Verdana" w:eastAsia="Times New Roman" w:hAnsi="Verdana" w:cs="Times New Roman"/>
          <w:sz w:val="20"/>
          <w:szCs w:val="20"/>
        </w:rPr>
        <w:t xml:space="preserve"> homeowners association, and other organizations with affected members</w:t>
      </w:r>
    </w:p>
    <w:p w14:paraId="56C19E5D" w14:textId="5640067C" w:rsidR="00966BB2" w:rsidRDefault="00966BB2" w:rsidP="00966BB2">
      <w:pPr>
        <w:pStyle w:val="ListParagraph"/>
        <w:numPr>
          <w:ilvl w:val="0"/>
          <w:numId w:val="1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 xml:space="preserve">Cannot challenge under 163.3215 based on interpretation of LDR—that should be done by cert petition.  </w:t>
      </w:r>
    </w:p>
    <w:p w14:paraId="7145AB0C" w14:textId="75C1843A" w:rsidR="0086005B" w:rsidRDefault="0086005B" w:rsidP="00966BB2">
      <w:pPr>
        <w:pStyle w:val="ListParagraph"/>
        <w:numPr>
          <w:ilvl w:val="0"/>
          <w:numId w:val="1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Standard of review is strict scrutiny with comp plan</w:t>
      </w:r>
    </w:p>
    <w:p w14:paraId="1BFA99D0" w14:textId="3AF25AAB" w:rsidR="0086005B" w:rsidRDefault="0086005B" w:rsidP="0086005B">
      <w:pPr>
        <w:spacing w:after="0" w:line="240" w:lineRule="auto"/>
        <w:rPr>
          <w:rFonts w:ascii="Verdana" w:eastAsia="Times New Roman" w:hAnsi="Verdana" w:cs="Times New Roman"/>
          <w:sz w:val="20"/>
          <w:szCs w:val="20"/>
        </w:rPr>
      </w:pPr>
    </w:p>
    <w:p w14:paraId="4FC11B6F" w14:textId="77777777" w:rsidR="00556D6E" w:rsidRDefault="00556D6E" w:rsidP="0086005B">
      <w:pPr>
        <w:spacing w:after="0" w:line="240" w:lineRule="auto"/>
        <w:rPr>
          <w:rFonts w:ascii="Verdana" w:eastAsia="Times New Roman" w:hAnsi="Verdana" w:cs="Times New Roman"/>
          <w:sz w:val="20"/>
          <w:szCs w:val="20"/>
          <w:u w:val="single"/>
        </w:rPr>
      </w:pPr>
    </w:p>
    <w:p w14:paraId="28206E8E" w14:textId="77777777" w:rsidR="00556D6E" w:rsidRDefault="00556D6E" w:rsidP="0086005B">
      <w:pPr>
        <w:spacing w:after="0" w:line="240" w:lineRule="auto"/>
        <w:rPr>
          <w:rFonts w:ascii="Verdana" w:eastAsia="Times New Roman" w:hAnsi="Verdana" w:cs="Times New Roman"/>
          <w:sz w:val="20"/>
          <w:szCs w:val="20"/>
          <w:u w:val="single"/>
        </w:rPr>
      </w:pPr>
    </w:p>
    <w:p w14:paraId="7E8D2BF5" w14:textId="3E464060" w:rsidR="0086005B" w:rsidRDefault="0086005B" w:rsidP="0086005B">
      <w:pPr>
        <w:spacing w:after="0" w:line="240" w:lineRule="auto"/>
        <w:rPr>
          <w:rFonts w:ascii="Verdana" w:eastAsia="Times New Roman" w:hAnsi="Verdana" w:cs="Times New Roman"/>
          <w:sz w:val="20"/>
          <w:szCs w:val="20"/>
        </w:rPr>
      </w:pPr>
      <w:r>
        <w:rPr>
          <w:rFonts w:ascii="Verdana" w:eastAsia="Times New Roman" w:hAnsi="Verdana" w:cs="Times New Roman"/>
          <w:sz w:val="20"/>
          <w:szCs w:val="20"/>
          <w:u w:val="single"/>
        </w:rPr>
        <w:lastRenderedPageBreak/>
        <w:t>Contract Zoning</w:t>
      </w:r>
    </w:p>
    <w:p w14:paraId="4DF483A4" w14:textId="5EA40EA3" w:rsidR="0086005B" w:rsidRDefault="0086005B" w:rsidP="0086005B">
      <w:pPr>
        <w:pStyle w:val="ListParagraph"/>
        <w:numPr>
          <w:ilvl w:val="0"/>
          <w:numId w:val="15"/>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Gov’t may not agree to rezone land is exchange for consideration:  cannot contract away policy powers</w:t>
      </w:r>
    </w:p>
    <w:p w14:paraId="56D26F09" w14:textId="7F3E0297" w:rsidR="00556D6E" w:rsidRDefault="00556D6E" w:rsidP="0086005B">
      <w:pPr>
        <w:pStyle w:val="ListParagraph"/>
        <w:numPr>
          <w:ilvl w:val="0"/>
          <w:numId w:val="15"/>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 xml:space="preserve">Even agreement to support and expeditiously process a zoning request is illegal and promissory estoppel cannot be used to enforce it.  </w:t>
      </w:r>
    </w:p>
    <w:p w14:paraId="499465EA" w14:textId="77777777" w:rsidR="00556D6E" w:rsidRDefault="00556D6E" w:rsidP="00556D6E">
      <w:pPr>
        <w:spacing w:after="0" w:line="240" w:lineRule="auto"/>
        <w:rPr>
          <w:rFonts w:ascii="Verdana" w:eastAsia="Times New Roman" w:hAnsi="Verdana" w:cs="Times New Roman"/>
          <w:sz w:val="20"/>
          <w:szCs w:val="20"/>
          <w:u w:val="single"/>
        </w:rPr>
      </w:pPr>
    </w:p>
    <w:p w14:paraId="08F6663A" w14:textId="5D16AE0E" w:rsidR="00556D6E" w:rsidRDefault="00556D6E" w:rsidP="00556D6E">
      <w:pPr>
        <w:spacing w:after="0" w:line="240" w:lineRule="auto"/>
        <w:rPr>
          <w:rFonts w:ascii="Verdana" w:eastAsia="Times New Roman" w:hAnsi="Verdana" w:cs="Times New Roman"/>
          <w:sz w:val="20"/>
          <w:szCs w:val="20"/>
        </w:rPr>
      </w:pPr>
      <w:r>
        <w:rPr>
          <w:rFonts w:ascii="Verdana" w:eastAsia="Times New Roman" w:hAnsi="Verdana" w:cs="Times New Roman"/>
          <w:sz w:val="20"/>
          <w:szCs w:val="20"/>
          <w:u w:val="single"/>
        </w:rPr>
        <w:t>Public Schools</w:t>
      </w:r>
    </w:p>
    <w:p w14:paraId="4A202614" w14:textId="1830983E" w:rsidR="00556D6E" w:rsidRDefault="00556D6E" w:rsidP="00556D6E">
      <w:pPr>
        <w:pStyle w:val="ListParagraph"/>
        <w:numPr>
          <w:ilvl w:val="0"/>
          <w:numId w:val="17"/>
        </w:numPr>
        <w:spacing w:after="0" w:line="240" w:lineRule="auto"/>
        <w:rPr>
          <w:rFonts w:ascii="Verdana" w:eastAsia="Times New Roman" w:hAnsi="Verdana" w:cs="Times New Roman"/>
          <w:sz w:val="20"/>
          <w:szCs w:val="20"/>
        </w:rPr>
      </w:pPr>
      <w:r w:rsidRPr="00556D6E">
        <w:rPr>
          <w:rFonts w:ascii="Verdana" w:eastAsia="Times New Roman" w:hAnsi="Verdana" w:cs="Times New Roman"/>
          <w:sz w:val="20"/>
          <w:szCs w:val="20"/>
        </w:rPr>
        <w:t xml:space="preserve">Are subject only to comp plan consistency unless school board and local gov’t agree to </w:t>
      </w:r>
      <w:proofErr w:type="spellStart"/>
      <w:r w:rsidRPr="00556D6E">
        <w:rPr>
          <w:rFonts w:ascii="Verdana" w:eastAsia="Times New Roman" w:hAnsi="Verdana" w:cs="Times New Roman"/>
          <w:sz w:val="20"/>
          <w:szCs w:val="20"/>
        </w:rPr>
        <w:t>add’l</w:t>
      </w:r>
      <w:proofErr w:type="spellEnd"/>
      <w:r w:rsidRPr="00556D6E">
        <w:rPr>
          <w:rFonts w:ascii="Verdana" w:eastAsia="Times New Roman" w:hAnsi="Verdana" w:cs="Times New Roman"/>
          <w:sz w:val="20"/>
          <w:szCs w:val="20"/>
        </w:rPr>
        <w:t xml:space="preserve"> standards.  </w:t>
      </w:r>
    </w:p>
    <w:p w14:paraId="1B4D3E05" w14:textId="11E99EC7" w:rsidR="00556D6E" w:rsidRDefault="00556D6E" w:rsidP="00556D6E">
      <w:pPr>
        <w:spacing w:after="0" w:line="240" w:lineRule="auto"/>
        <w:rPr>
          <w:rFonts w:ascii="Verdana" w:eastAsia="Times New Roman" w:hAnsi="Verdana" w:cs="Times New Roman"/>
          <w:sz w:val="20"/>
          <w:szCs w:val="20"/>
        </w:rPr>
      </w:pPr>
    </w:p>
    <w:p w14:paraId="4A7CF090" w14:textId="4640E582" w:rsidR="00556D6E" w:rsidRDefault="00556D6E" w:rsidP="00556D6E">
      <w:pPr>
        <w:spacing w:after="0" w:line="240" w:lineRule="auto"/>
        <w:rPr>
          <w:rFonts w:ascii="Verdana" w:eastAsia="Times New Roman" w:hAnsi="Verdana" w:cs="Times New Roman"/>
          <w:sz w:val="20"/>
          <w:szCs w:val="20"/>
        </w:rPr>
      </w:pPr>
      <w:r>
        <w:rPr>
          <w:rFonts w:ascii="Verdana" w:eastAsia="Times New Roman" w:hAnsi="Verdana" w:cs="Times New Roman"/>
          <w:sz w:val="20"/>
          <w:szCs w:val="20"/>
          <w:u w:val="single"/>
        </w:rPr>
        <w:t>Code Enforcement</w:t>
      </w:r>
    </w:p>
    <w:p w14:paraId="42B18804" w14:textId="126C32FB" w:rsidR="00556D6E" w:rsidRDefault="00B4427D" w:rsidP="00B4427D">
      <w:pPr>
        <w:pStyle w:val="ListParagraph"/>
        <w:numPr>
          <w:ilvl w:val="0"/>
          <w:numId w:val="17"/>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Code enforcement inspector responsible for initiating</w:t>
      </w:r>
    </w:p>
    <w:p w14:paraId="5BEC8EAA" w14:textId="2FB5CE7E" w:rsidR="00B4427D" w:rsidRDefault="00B4427D" w:rsidP="00B4427D">
      <w:pPr>
        <w:pStyle w:val="ListParagraph"/>
        <w:numPr>
          <w:ilvl w:val="1"/>
          <w:numId w:val="17"/>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Prosecutorial discretion to file, prosecute, abate or dismiss</w:t>
      </w:r>
    </w:p>
    <w:p w14:paraId="6CBF75F6" w14:textId="6336D9DE" w:rsidR="00B4427D" w:rsidRDefault="00B4427D" w:rsidP="00B4427D">
      <w:pPr>
        <w:pStyle w:val="ListParagraph"/>
        <w:numPr>
          <w:ilvl w:val="0"/>
          <w:numId w:val="17"/>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Code enforcement board holds hearing to find violation, and assess fine (but can establish alternative process)</w:t>
      </w:r>
    </w:p>
    <w:p w14:paraId="4A511787" w14:textId="5020FB74" w:rsidR="00B4427D" w:rsidRDefault="00B4427D" w:rsidP="00B4427D">
      <w:pPr>
        <w:pStyle w:val="ListParagraph"/>
        <w:numPr>
          <w:ilvl w:val="1"/>
          <w:numId w:val="17"/>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Has subpoena powers</w:t>
      </w:r>
    </w:p>
    <w:p w14:paraId="1C5B7E9D" w14:textId="24CECEDC" w:rsidR="00B4427D" w:rsidRDefault="00B4427D" w:rsidP="00B4427D">
      <w:pPr>
        <w:pStyle w:val="ListParagraph"/>
        <w:numPr>
          <w:ilvl w:val="1"/>
          <w:numId w:val="17"/>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Laches is available defense</w:t>
      </w:r>
    </w:p>
    <w:p w14:paraId="2CE29AF3" w14:textId="264F59E6" w:rsidR="00B4427D" w:rsidRDefault="00B4427D" w:rsidP="00B4427D">
      <w:pPr>
        <w:pStyle w:val="ListParagraph"/>
        <w:numPr>
          <w:ilvl w:val="0"/>
          <w:numId w:val="17"/>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Penalties</w:t>
      </w:r>
    </w:p>
    <w:p w14:paraId="4D38A246" w14:textId="52043361" w:rsidR="00B4427D" w:rsidRDefault="00B4427D" w:rsidP="00B4427D">
      <w:pPr>
        <w:pStyle w:val="ListParagraph"/>
        <w:numPr>
          <w:ilvl w:val="1"/>
          <w:numId w:val="17"/>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Fines are limited to $250 day/ $500 for repeat violation.  May include costs of repairs</w:t>
      </w:r>
    </w:p>
    <w:p w14:paraId="0633E489" w14:textId="0DCFFA88" w:rsidR="00B4427D" w:rsidRDefault="00B4427D" w:rsidP="00B4427D">
      <w:pPr>
        <w:pStyle w:val="ListParagraph"/>
        <w:numPr>
          <w:ilvl w:val="1"/>
          <w:numId w:val="17"/>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If irreparable or irreversible violation, can impose fine not to exceed $5000 per violation</w:t>
      </w:r>
    </w:p>
    <w:p w14:paraId="7ECAF08B" w14:textId="03E47338" w:rsidR="00B4427D" w:rsidRDefault="00B4427D" w:rsidP="00B4427D">
      <w:pPr>
        <w:pStyle w:val="ListParagraph"/>
        <w:numPr>
          <w:ilvl w:val="1"/>
          <w:numId w:val="17"/>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If population of 50,000 or more, can adopt by super majority vote higher fines of $1000 per day/$5000 for repeat violation, $15,000 for irreparable violation</w:t>
      </w:r>
    </w:p>
    <w:p w14:paraId="6E24E6D6" w14:textId="66E34BBB" w:rsidR="00B4427D" w:rsidRDefault="00B4427D" w:rsidP="00B4427D">
      <w:pPr>
        <w:pStyle w:val="ListParagraph"/>
        <w:numPr>
          <w:ilvl w:val="1"/>
          <w:numId w:val="17"/>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Enforceable by lien valid for 20 years</w:t>
      </w:r>
    </w:p>
    <w:p w14:paraId="38DD442A" w14:textId="0830275A" w:rsidR="00B4427D" w:rsidRDefault="00B4427D" w:rsidP="00B4427D">
      <w:pPr>
        <w:pStyle w:val="ListParagraph"/>
        <w:numPr>
          <w:ilvl w:val="2"/>
          <w:numId w:val="17"/>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Prior recorded mortgage has priority</w:t>
      </w:r>
    </w:p>
    <w:p w14:paraId="3A626091" w14:textId="211224CF" w:rsidR="00B4427D" w:rsidRDefault="00B4427D" w:rsidP="00B4427D">
      <w:pPr>
        <w:pStyle w:val="ListParagraph"/>
        <w:numPr>
          <w:ilvl w:val="0"/>
          <w:numId w:val="17"/>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Citation system</w:t>
      </w:r>
      <w:r w:rsidR="00754E83">
        <w:rPr>
          <w:rFonts w:ascii="Verdana" w:eastAsia="Times New Roman" w:hAnsi="Verdana" w:cs="Times New Roman"/>
          <w:sz w:val="20"/>
          <w:szCs w:val="20"/>
        </w:rPr>
        <w:t xml:space="preserve"> (county court)</w:t>
      </w:r>
      <w:r>
        <w:rPr>
          <w:rFonts w:ascii="Verdana" w:eastAsia="Times New Roman" w:hAnsi="Verdana" w:cs="Times New Roman"/>
          <w:sz w:val="20"/>
          <w:szCs w:val="20"/>
        </w:rPr>
        <w:t>:</w:t>
      </w:r>
    </w:p>
    <w:p w14:paraId="605C815D" w14:textId="4F55FC3F" w:rsidR="00B4427D" w:rsidRDefault="00B4427D" w:rsidP="00B4427D">
      <w:pPr>
        <w:pStyle w:val="ListParagraph"/>
        <w:numPr>
          <w:ilvl w:val="1"/>
          <w:numId w:val="17"/>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 xml:space="preserve">Must identify date violation started, provide an opportunity to cure prior to issuing citation unless serious threat to public health, safety and welfare.  </w:t>
      </w:r>
    </w:p>
    <w:p w14:paraId="30BAD514" w14:textId="634C6C30" w:rsidR="00B4427D" w:rsidRDefault="00B4427D" w:rsidP="00B4427D">
      <w:pPr>
        <w:pStyle w:val="ListParagraph"/>
        <w:numPr>
          <w:ilvl w:val="1"/>
          <w:numId w:val="17"/>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Local government required to establish implementing procedures including the schedule of violations and penalties</w:t>
      </w:r>
    </w:p>
    <w:p w14:paraId="05DF69D3" w14:textId="501ACFD2" w:rsidR="00B4427D" w:rsidRDefault="00B4427D" w:rsidP="00B4427D">
      <w:pPr>
        <w:pStyle w:val="ListParagraph"/>
        <w:numPr>
          <w:ilvl w:val="1"/>
          <w:numId w:val="17"/>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 xml:space="preserve">Penalty: maximum allowed is $500 per citation; person who willfully refuses to sign and accept a citation shall be guilty of a </w:t>
      </w:r>
      <w:proofErr w:type="gramStart"/>
      <w:r>
        <w:rPr>
          <w:rFonts w:ascii="Verdana" w:eastAsia="Times New Roman" w:hAnsi="Verdana" w:cs="Times New Roman"/>
          <w:sz w:val="20"/>
          <w:szCs w:val="20"/>
        </w:rPr>
        <w:t>second degree</w:t>
      </w:r>
      <w:proofErr w:type="gramEnd"/>
      <w:r>
        <w:rPr>
          <w:rFonts w:ascii="Verdana" w:eastAsia="Times New Roman" w:hAnsi="Verdana" w:cs="Times New Roman"/>
          <w:sz w:val="20"/>
          <w:szCs w:val="20"/>
        </w:rPr>
        <w:t xml:space="preserve"> misdemeanor</w:t>
      </w:r>
    </w:p>
    <w:p w14:paraId="2FA39517" w14:textId="5CCCBCAD" w:rsidR="00754E83" w:rsidRDefault="00754E83" w:rsidP="00754E83">
      <w:pPr>
        <w:pStyle w:val="ListParagraph"/>
        <w:numPr>
          <w:ilvl w:val="0"/>
          <w:numId w:val="17"/>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Injunctions:</w:t>
      </w:r>
    </w:p>
    <w:p w14:paraId="356F0F51" w14:textId="33B6F57B" w:rsidR="00754E83" w:rsidRDefault="00270BE9" w:rsidP="00754E83">
      <w:pPr>
        <w:pStyle w:val="ListParagraph"/>
        <w:numPr>
          <w:ilvl w:val="1"/>
          <w:numId w:val="17"/>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Must demonstrate no adequate remedy of law is available will result in irreparable injury</w:t>
      </w:r>
    </w:p>
    <w:p w14:paraId="0CF44B66" w14:textId="6D6C6527" w:rsidR="00270BE9" w:rsidRDefault="00270BE9" w:rsidP="00754E83">
      <w:pPr>
        <w:pStyle w:val="ListParagraph"/>
        <w:numPr>
          <w:ilvl w:val="1"/>
          <w:numId w:val="17"/>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Elements for temporary injunction:</w:t>
      </w:r>
    </w:p>
    <w:p w14:paraId="4E63E995" w14:textId="39B23C6A" w:rsidR="00270BE9" w:rsidRDefault="00270BE9" w:rsidP="00270BE9">
      <w:pPr>
        <w:pStyle w:val="ListParagraph"/>
        <w:numPr>
          <w:ilvl w:val="2"/>
          <w:numId w:val="17"/>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Irreparable harm or likelihood of irreparable harm</w:t>
      </w:r>
    </w:p>
    <w:p w14:paraId="05C48488" w14:textId="3AA7839D" w:rsidR="00270BE9" w:rsidRDefault="00270BE9" w:rsidP="00270BE9">
      <w:pPr>
        <w:pStyle w:val="ListParagraph"/>
        <w:numPr>
          <w:ilvl w:val="3"/>
          <w:numId w:val="17"/>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 xml:space="preserve">Where government seeks to enforce police power, any alternative legal remedy is </w:t>
      </w:r>
      <w:proofErr w:type="gramStart"/>
      <w:r>
        <w:rPr>
          <w:rFonts w:ascii="Verdana" w:eastAsia="Times New Roman" w:hAnsi="Verdana" w:cs="Times New Roman"/>
          <w:sz w:val="20"/>
          <w:szCs w:val="20"/>
        </w:rPr>
        <w:t>ignored</w:t>
      </w:r>
      <w:proofErr w:type="gramEnd"/>
      <w:r>
        <w:rPr>
          <w:rFonts w:ascii="Verdana" w:eastAsia="Times New Roman" w:hAnsi="Verdana" w:cs="Times New Roman"/>
          <w:sz w:val="20"/>
          <w:szCs w:val="20"/>
        </w:rPr>
        <w:t xml:space="preserve"> and irreparable harm is presumed</w:t>
      </w:r>
    </w:p>
    <w:p w14:paraId="6948C76A" w14:textId="6E72142A" w:rsidR="00270BE9" w:rsidRDefault="00270BE9" w:rsidP="00270BE9">
      <w:pPr>
        <w:pStyle w:val="ListParagraph"/>
        <w:numPr>
          <w:ilvl w:val="2"/>
          <w:numId w:val="17"/>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Unavailability of adequate remedies at law</w:t>
      </w:r>
    </w:p>
    <w:p w14:paraId="297C78C2" w14:textId="3669721C" w:rsidR="00270BE9" w:rsidRDefault="00270BE9" w:rsidP="00270BE9">
      <w:pPr>
        <w:pStyle w:val="ListParagraph"/>
        <w:numPr>
          <w:ilvl w:val="2"/>
          <w:numId w:val="17"/>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Substantial likelihood of success on the merits</w:t>
      </w:r>
    </w:p>
    <w:p w14:paraId="064B5E56" w14:textId="76060F68" w:rsidR="00270BE9" w:rsidRDefault="00270BE9" w:rsidP="00270BE9">
      <w:pPr>
        <w:pStyle w:val="ListParagraph"/>
        <w:numPr>
          <w:ilvl w:val="2"/>
          <w:numId w:val="17"/>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Public interest requires issuance</w:t>
      </w:r>
      <w:r w:rsidR="00423AC3">
        <w:rPr>
          <w:rFonts w:ascii="Verdana" w:eastAsia="Times New Roman" w:hAnsi="Verdana" w:cs="Times New Roman"/>
          <w:sz w:val="20"/>
          <w:szCs w:val="20"/>
        </w:rPr>
        <w:t xml:space="preserve"> </w:t>
      </w:r>
    </w:p>
    <w:p w14:paraId="6189F9FF" w14:textId="74B6CCDE" w:rsidR="00423AC3" w:rsidRDefault="00423AC3" w:rsidP="00423AC3">
      <w:pPr>
        <w:spacing w:after="0" w:line="240" w:lineRule="auto"/>
        <w:rPr>
          <w:rFonts w:ascii="Verdana" w:eastAsia="Times New Roman" w:hAnsi="Verdana" w:cs="Times New Roman"/>
          <w:sz w:val="20"/>
          <w:szCs w:val="20"/>
        </w:rPr>
      </w:pPr>
    </w:p>
    <w:p w14:paraId="23DE559D" w14:textId="2A5CF3E6" w:rsidR="00423AC3" w:rsidRDefault="00423AC3" w:rsidP="00423AC3">
      <w:pPr>
        <w:spacing w:after="0" w:line="240" w:lineRule="auto"/>
        <w:rPr>
          <w:rFonts w:ascii="Verdana" w:eastAsia="Times New Roman" w:hAnsi="Verdana" w:cs="Times New Roman"/>
          <w:sz w:val="20"/>
          <w:szCs w:val="20"/>
        </w:rPr>
      </w:pPr>
      <w:r>
        <w:rPr>
          <w:rFonts w:ascii="Verdana" w:eastAsia="Times New Roman" w:hAnsi="Verdana" w:cs="Times New Roman"/>
          <w:sz w:val="20"/>
          <w:szCs w:val="20"/>
          <w:u w:val="single"/>
        </w:rPr>
        <w:t>Legal limitations</w:t>
      </w:r>
    </w:p>
    <w:p w14:paraId="4B0591A6" w14:textId="2FB17801" w:rsidR="00423AC3" w:rsidRDefault="00423AC3" w:rsidP="00423AC3">
      <w:pPr>
        <w:spacing w:after="0" w:line="240" w:lineRule="auto"/>
        <w:rPr>
          <w:rFonts w:ascii="Verdana" w:eastAsia="Times New Roman" w:hAnsi="Verdana" w:cs="Times New Roman"/>
          <w:sz w:val="20"/>
          <w:szCs w:val="20"/>
        </w:rPr>
      </w:pPr>
    </w:p>
    <w:p w14:paraId="46558B04" w14:textId="201E1D5D" w:rsidR="00423AC3" w:rsidRPr="00423AC3" w:rsidRDefault="00423AC3" w:rsidP="00423AC3">
      <w:pPr>
        <w:pStyle w:val="ListParagraph"/>
        <w:numPr>
          <w:ilvl w:val="0"/>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u w:val="single"/>
        </w:rPr>
        <w:t>Procedural Due Process</w:t>
      </w:r>
    </w:p>
    <w:p w14:paraId="3E592F55" w14:textId="09D80F95" w:rsidR="00423AC3" w:rsidRPr="00423AC3" w:rsidRDefault="00423AC3" w:rsidP="00423AC3">
      <w:pPr>
        <w:pStyle w:val="ListParagraph"/>
        <w:numPr>
          <w:ilvl w:val="1"/>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Notice varies based on type of proceeding</w:t>
      </w:r>
    </w:p>
    <w:p w14:paraId="7FA5A8CE" w14:textId="237142D0" w:rsidR="00423AC3" w:rsidRPr="00423AC3" w:rsidRDefault="00423AC3" w:rsidP="00423AC3">
      <w:pPr>
        <w:pStyle w:val="ListParagraph"/>
        <w:numPr>
          <w:ilvl w:val="2"/>
          <w:numId w:val="20"/>
        </w:numPr>
        <w:spacing w:after="0" w:line="240" w:lineRule="auto"/>
        <w:rPr>
          <w:rFonts w:ascii="Verdana" w:eastAsia="Times New Roman" w:hAnsi="Verdana" w:cs="Times New Roman"/>
          <w:sz w:val="20"/>
          <w:szCs w:val="20"/>
          <w:u w:val="single"/>
        </w:rPr>
      </w:pPr>
      <w:proofErr w:type="spellStart"/>
      <w:r>
        <w:rPr>
          <w:rFonts w:ascii="Verdana" w:eastAsia="Times New Roman" w:hAnsi="Verdana" w:cs="Times New Roman"/>
          <w:sz w:val="20"/>
          <w:szCs w:val="20"/>
        </w:rPr>
        <w:lastRenderedPageBreak/>
        <w:t>Generaly</w:t>
      </w:r>
      <w:proofErr w:type="spellEnd"/>
      <w:r>
        <w:rPr>
          <w:rFonts w:ascii="Verdana" w:eastAsia="Times New Roman" w:hAnsi="Verdana" w:cs="Times New Roman"/>
          <w:sz w:val="20"/>
          <w:szCs w:val="20"/>
        </w:rPr>
        <w:t>, one public hearing required with notice published at least ten days prior to adoption (exception for emergency matters under 125.66(3))</w:t>
      </w:r>
    </w:p>
    <w:p w14:paraId="2D7D5D0A" w14:textId="76C1B0B9" w:rsidR="00423AC3" w:rsidRPr="00423AC3" w:rsidRDefault="00423AC3" w:rsidP="00423AC3">
      <w:pPr>
        <w:pStyle w:val="ListParagraph"/>
        <w:numPr>
          <w:ilvl w:val="2"/>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Comp plan statues requires additional public hearing at least one must be held after 5 pm on weekday</w:t>
      </w:r>
    </w:p>
    <w:p w14:paraId="37A2AC88" w14:textId="77777777" w:rsidR="00423AC3" w:rsidRPr="00423AC3" w:rsidRDefault="00423AC3" w:rsidP="00423AC3">
      <w:pPr>
        <w:pStyle w:val="ListParagraph"/>
        <w:numPr>
          <w:ilvl w:val="2"/>
          <w:numId w:val="20"/>
        </w:numPr>
        <w:spacing w:after="0" w:line="240" w:lineRule="auto"/>
        <w:rPr>
          <w:rFonts w:ascii="Verdana" w:eastAsia="Times New Roman" w:hAnsi="Verdana" w:cs="Times New Roman"/>
          <w:sz w:val="20"/>
          <w:szCs w:val="20"/>
          <w:u w:val="single"/>
        </w:rPr>
      </w:pPr>
    </w:p>
    <w:p w14:paraId="0B414CF2" w14:textId="67E0BB48" w:rsidR="00423AC3" w:rsidRPr="00423AC3" w:rsidRDefault="00423AC3" w:rsidP="00E95823">
      <w:pPr>
        <w:pStyle w:val="ListParagraph"/>
        <w:numPr>
          <w:ilvl w:val="0"/>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Substantive Due Process</w:t>
      </w:r>
    </w:p>
    <w:p w14:paraId="337DB2FE" w14:textId="7D5A0EA8" w:rsidR="00423AC3" w:rsidRPr="006E454A" w:rsidRDefault="006E454A" w:rsidP="00423AC3">
      <w:pPr>
        <w:pStyle w:val="ListParagraph"/>
        <w:numPr>
          <w:ilvl w:val="1"/>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Is action rationally related to a public purpose, and not being applied arbitrarily</w:t>
      </w:r>
    </w:p>
    <w:p w14:paraId="02F1353A" w14:textId="3E005097" w:rsidR="006E454A" w:rsidRPr="006E454A" w:rsidRDefault="006E454A" w:rsidP="00423AC3">
      <w:pPr>
        <w:pStyle w:val="ListParagraph"/>
        <w:numPr>
          <w:ilvl w:val="1"/>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Heightened review if law impairs a fundamental civil right or liberty or burdens a suspect class</w:t>
      </w:r>
    </w:p>
    <w:p w14:paraId="2D20798A" w14:textId="411B06FE" w:rsidR="006E454A" w:rsidRPr="006E454A" w:rsidRDefault="006E454A" w:rsidP="006E454A">
      <w:pPr>
        <w:pStyle w:val="ListParagraph"/>
        <w:numPr>
          <w:ilvl w:val="2"/>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Must be narrowly tailored to promote a compelling or overriding public interest</w:t>
      </w:r>
    </w:p>
    <w:p w14:paraId="44E82154" w14:textId="4ECA1A78" w:rsidR="006E454A" w:rsidRPr="006E454A" w:rsidRDefault="006E454A" w:rsidP="006E454A">
      <w:pPr>
        <w:pStyle w:val="ListParagraph"/>
        <w:numPr>
          <w:ilvl w:val="0"/>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Inverse condemnation</w:t>
      </w:r>
    </w:p>
    <w:p w14:paraId="60CF5EE5" w14:textId="046B7374" w:rsidR="006E454A" w:rsidRPr="006E454A" w:rsidRDefault="006E454A" w:rsidP="006E454A">
      <w:pPr>
        <w:pStyle w:val="ListParagraph"/>
        <w:numPr>
          <w:ilvl w:val="1"/>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Regulatory taking</w:t>
      </w:r>
    </w:p>
    <w:p w14:paraId="2938CA7C" w14:textId="707F3541" w:rsidR="006E454A" w:rsidRPr="006E454A" w:rsidRDefault="006E454A" w:rsidP="006E454A">
      <w:pPr>
        <w:pStyle w:val="ListParagraph"/>
        <w:numPr>
          <w:ilvl w:val="2"/>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Penn central factors</w:t>
      </w:r>
    </w:p>
    <w:p w14:paraId="5B2B034F" w14:textId="61BA8AE8" w:rsidR="006E454A" w:rsidRPr="006E454A" w:rsidRDefault="006E454A" w:rsidP="006E454A">
      <w:pPr>
        <w:pStyle w:val="ListParagraph"/>
        <w:numPr>
          <w:ilvl w:val="3"/>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The economic impact of the regulation on the complaint</w:t>
      </w:r>
    </w:p>
    <w:p w14:paraId="1D56AF2A" w14:textId="743040AE" w:rsidR="006E454A" w:rsidRPr="006E454A" w:rsidRDefault="006E454A" w:rsidP="006E454A">
      <w:pPr>
        <w:pStyle w:val="ListParagraph"/>
        <w:numPr>
          <w:ilvl w:val="3"/>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The extent to which the regulation has interfered with distinct investment backed expectations; and</w:t>
      </w:r>
    </w:p>
    <w:p w14:paraId="7A2E3E21" w14:textId="7183F0B3" w:rsidR="006E454A" w:rsidRPr="006E454A" w:rsidRDefault="006E454A" w:rsidP="006E454A">
      <w:pPr>
        <w:pStyle w:val="ListParagraph"/>
        <w:numPr>
          <w:ilvl w:val="3"/>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The character of the government actions</w:t>
      </w:r>
    </w:p>
    <w:p w14:paraId="6DB607DF" w14:textId="0AEA8108" w:rsidR="006E454A" w:rsidRPr="006E454A" w:rsidRDefault="006E454A" w:rsidP="006E454A">
      <w:pPr>
        <w:pStyle w:val="ListParagraph"/>
        <w:numPr>
          <w:ilvl w:val="2"/>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Per se taking</w:t>
      </w:r>
    </w:p>
    <w:p w14:paraId="6164B3A5" w14:textId="7556F33F" w:rsidR="006E454A" w:rsidRPr="006E454A" w:rsidRDefault="006E454A" w:rsidP="006E454A">
      <w:pPr>
        <w:pStyle w:val="ListParagraph"/>
        <w:numPr>
          <w:ilvl w:val="3"/>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Physical invasion: taking no matter size of area</w:t>
      </w:r>
    </w:p>
    <w:p w14:paraId="23BEC042" w14:textId="591602C8" w:rsidR="006E454A" w:rsidRPr="006E454A" w:rsidRDefault="006E454A" w:rsidP="006E454A">
      <w:pPr>
        <w:pStyle w:val="ListParagraph"/>
        <w:numPr>
          <w:ilvl w:val="3"/>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 xml:space="preserve">Total regulatory </w:t>
      </w:r>
      <w:proofErr w:type="gramStart"/>
      <w:r>
        <w:rPr>
          <w:rFonts w:ascii="Verdana" w:eastAsia="Times New Roman" w:hAnsi="Verdana" w:cs="Times New Roman"/>
          <w:sz w:val="20"/>
          <w:szCs w:val="20"/>
        </w:rPr>
        <w:t>taking:</w:t>
      </w:r>
      <w:proofErr w:type="gramEnd"/>
      <w:r>
        <w:rPr>
          <w:rFonts w:ascii="Verdana" w:eastAsia="Times New Roman" w:hAnsi="Verdana" w:cs="Times New Roman"/>
          <w:sz w:val="20"/>
          <w:szCs w:val="20"/>
        </w:rPr>
        <w:t xml:space="preserve"> where deprived of all economically beneficial use</w:t>
      </w:r>
    </w:p>
    <w:p w14:paraId="5B65F2D9" w14:textId="77777777" w:rsidR="006E454A" w:rsidRPr="006E454A" w:rsidRDefault="006E454A" w:rsidP="006E454A">
      <w:pPr>
        <w:pStyle w:val="ListParagraph"/>
        <w:numPr>
          <w:ilvl w:val="2"/>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 xml:space="preserve">Exactions: </w:t>
      </w:r>
    </w:p>
    <w:p w14:paraId="07C46696" w14:textId="712247B2" w:rsidR="006E454A" w:rsidRPr="006E454A" w:rsidRDefault="006E454A" w:rsidP="006E454A">
      <w:pPr>
        <w:pStyle w:val="ListParagraph"/>
        <w:numPr>
          <w:ilvl w:val="3"/>
          <w:numId w:val="20"/>
        </w:numPr>
        <w:spacing w:after="0" w:line="240" w:lineRule="auto"/>
        <w:rPr>
          <w:rFonts w:ascii="Verdana" w:eastAsia="Times New Roman" w:hAnsi="Verdana" w:cs="Times New Roman"/>
          <w:sz w:val="20"/>
          <w:szCs w:val="20"/>
          <w:u w:val="single"/>
        </w:rPr>
      </w:pPr>
      <w:r w:rsidRPr="006E454A">
        <w:rPr>
          <w:rFonts w:ascii="Verdana" w:eastAsia="Times New Roman" w:hAnsi="Verdana" w:cs="Times New Roman"/>
          <w:sz w:val="20"/>
          <w:szCs w:val="20"/>
        </w:rPr>
        <w:t>Must be essential nexus between condition imposed and original purpose of the restriction</w:t>
      </w:r>
    </w:p>
    <w:p w14:paraId="4B2561D6" w14:textId="7AF3D4FD" w:rsidR="006E454A" w:rsidRPr="00FA1F11" w:rsidRDefault="006E454A" w:rsidP="006E454A">
      <w:pPr>
        <w:pStyle w:val="ListParagraph"/>
        <w:numPr>
          <w:ilvl w:val="3"/>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Must be rough proportionality between the benefit derived from a development condition and the har, caused by proposed land use (limited to private property—not monetary exactions)</w:t>
      </w:r>
    </w:p>
    <w:p w14:paraId="773EF0E2" w14:textId="0BADE2B9" w:rsidR="00FA1F11" w:rsidRPr="00FA1F11" w:rsidRDefault="00FA1F11" w:rsidP="00FA1F11">
      <w:pPr>
        <w:pStyle w:val="ListParagraph"/>
        <w:numPr>
          <w:ilvl w:val="1"/>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Ripeness</w:t>
      </w:r>
    </w:p>
    <w:p w14:paraId="28DF81AA" w14:textId="5A99C046" w:rsidR="00FA1F11" w:rsidRPr="00FA1F11" w:rsidRDefault="00FA1F11" w:rsidP="00FA1F11">
      <w:pPr>
        <w:pStyle w:val="ListParagraph"/>
        <w:numPr>
          <w:ilvl w:val="2"/>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Do not have to file futile application</w:t>
      </w:r>
    </w:p>
    <w:p w14:paraId="78D23B98" w14:textId="63A99C22" w:rsidR="00FA1F11" w:rsidRPr="00FA1F11" w:rsidRDefault="00FA1F11" w:rsidP="00FA1F11">
      <w:pPr>
        <w:pStyle w:val="ListParagraph"/>
        <w:numPr>
          <w:ilvl w:val="2"/>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No bright line on how far applicant must go</w:t>
      </w:r>
    </w:p>
    <w:p w14:paraId="7CD7A561" w14:textId="485A12BA" w:rsidR="00FA1F11" w:rsidRPr="00FA1F11" w:rsidRDefault="00FA1F11" w:rsidP="00FA1F11">
      <w:pPr>
        <w:pStyle w:val="ListParagraph"/>
        <w:numPr>
          <w:ilvl w:val="2"/>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 xml:space="preserve">Once permissible uses of property are known to a reasonable degree of certainty, a taking claim is likely to have ripened.  </w:t>
      </w:r>
    </w:p>
    <w:p w14:paraId="428D3C11" w14:textId="455310AC" w:rsidR="00FA1F11" w:rsidRPr="00FA1F11" w:rsidRDefault="00FA1F11" w:rsidP="00FA1F11">
      <w:pPr>
        <w:pStyle w:val="ListParagraph"/>
        <w:numPr>
          <w:ilvl w:val="0"/>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Equal protection</w:t>
      </w:r>
    </w:p>
    <w:p w14:paraId="1EB37D10" w14:textId="24C846B8" w:rsidR="00FA1F11" w:rsidRPr="00FA1F11" w:rsidRDefault="00FA1F11" w:rsidP="00FA1F11">
      <w:pPr>
        <w:pStyle w:val="ListParagraph"/>
        <w:numPr>
          <w:ilvl w:val="1"/>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Courts have recognized “class of one” claims</w:t>
      </w:r>
    </w:p>
    <w:p w14:paraId="324DD1EB" w14:textId="23D29434" w:rsidR="00FA1F11" w:rsidRPr="00FA1F11" w:rsidRDefault="00FA1F11" w:rsidP="00FA1F11">
      <w:pPr>
        <w:pStyle w:val="ListParagraph"/>
        <w:numPr>
          <w:ilvl w:val="1"/>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 xml:space="preserve">Usually in context of discrimination against suspect class or a </w:t>
      </w:r>
      <w:proofErr w:type="gramStart"/>
      <w:r>
        <w:rPr>
          <w:rFonts w:ascii="Verdana" w:eastAsia="Times New Roman" w:hAnsi="Verdana" w:cs="Times New Roman"/>
          <w:sz w:val="20"/>
          <w:szCs w:val="20"/>
        </w:rPr>
        <w:t>fundamental rights</w:t>
      </w:r>
      <w:proofErr w:type="gramEnd"/>
    </w:p>
    <w:p w14:paraId="608C5F83" w14:textId="6C48B7CA" w:rsidR="00FA1F11" w:rsidRPr="00FA1F11" w:rsidRDefault="00FA1F11" w:rsidP="00FA1F11">
      <w:pPr>
        <w:pStyle w:val="ListParagraph"/>
        <w:numPr>
          <w:ilvl w:val="0"/>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First amendment</w:t>
      </w:r>
    </w:p>
    <w:p w14:paraId="3CBFAC48" w14:textId="08C52F84" w:rsidR="00FA1F11" w:rsidRPr="00FA1F11" w:rsidRDefault="00FA1F11" w:rsidP="00FA1F11">
      <w:pPr>
        <w:pStyle w:val="ListParagraph"/>
        <w:numPr>
          <w:ilvl w:val="1"/>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Freedom of speech</w:t>
      </w:r>
    </w:p>
    <w:p w14:paraId="0FBC994C" w14:textId="384E8545" w:rsidR="00FA1F11" w:rsidRPr="00FA1F11" w:rsidRDefault="00FA1F11" w:rsidP="00FA1F11">
      <w:pPr>
        <w:pStyle w:val="ListParagraph"/>
        <w:numPr>
          <w:ilvl w:val="2"/>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 xml:space="preserve">Subject to reasonable time, place and manner restrictions. V </w:t>
      </w:r>
      <w:proofErr w:type="spellStart"/>
      <w:r>
        <w:rPr>
          <w:rFonts w:ascii="Verdana" w:eastAsia="Times New Roman" w:hAnsi="Verdana" w:cs="Times New Roman"/>
          <w:sz w:val="20"/>
          <w:szCs w:val="20"/>
        </w:rPr>
        <w:t>alid</w:t>
      </w:r>
      <w:proofErr w:type="spellEnd"/>
      <w:r>
        <w:rPr>
          <w:rFonts w:ascii="Verdana" w:eastAsia="Times New Roman" w:hAnsi="Verdana" w:cs="Times New Roman"/>
          <w:sz w:val="20"/>
          <w:szCs w:val="20"/>
        </w:rPr>
        <w:t xml:space="preserve"> so long as they are justified without reference to content of speech, are narrowly tailored to serve the governmental </w:t>
      </w:r>
      <w:proofErr w:type="spellStart"/>
      <w:r>
        <w:rPr>
          <w:rFonts w:ascii="Verdana" w:eastAsia="Times New Roman" w:hAnsi="Verdana" w:cs="Times New Roman"/>
          <w:sz w:val="20"/>
          <w:szCs w:val="20"/>
        </w:rPr>
        <w:t>internest</w:t>
      </w:r>
      <w:proofErr w:type="spellEnd"/>
      <w:r>
        <w:rPr>
          <w:rFonts w:ascii="Verdana" w:eastAsia="Times New Roman" w:hAnsi="Verdana" w:cs="Times New Roman"/>
          <w:sz w:val="20"/>
          <w:szCs w:val="20"/>
        </w:rPr>
        <w:t xml:space="preserve"> and leave alternative channels for communication</w:t>
      </w:r>
    </w:p>
    <w:p w14:paraId="1BC8EEFC" w14:textId="01FD96A1" w:rsidR="00FA1F11" w:rsidRPr="00FA1F11" w:rsidRDefault="00FA1F11" w:rsidP="00FA1F11">
      <w:pPr>
        <w:pStyle w:val="ListParagraph"/>
        <w:numPr>
          <w:ilvl w:val="2"/>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 xml:space="preserve">Less protection to commercial speech.  </w:t>
      </w:r>
      <w:proofErr w:type="gramStart"/>
      <w:r>
        <w:rPr>
          <w:rFonts w:ascii="Verdana" w:eastAsia="Times New Roman" w:hAnsi="Verdana" w:cs="Times New Roman"/>
          <w:sz w:val="20"/>
          <w:szCs w:val="20"/>
        </w:rPr>
        <w:t>Four part</w:t>
      </w:r>
      <w:proofErr w:type="gramEnd"/>
      <w:r>
        <w:rPr>
          <w:rFonts w:ascii="Verdana" w:eastAsia="Times New Roman" w:hAnsi="Verdana" w:cs="Times New Roman"/>
          <w:sz w:val="20"/>
          <w:szCs w:val="20"/>
        </w:rPr>
        <w:t xml:space="preserve"> test:</w:t>
      </w:r>
    </w:p>
    <w:p w14:paraId="78883F87" w14:textId="34A0FE44" w:rsidR="00FA1F11" w:rsidRPr="00FA1F11" w:rsidRDefault="00FA1F11" w:rsidP="00FA1F11">
      <w:pPr>
        <w:pStyle w:val="ListParagraph"/>
        <w:numPr>
          <w:ilvl w:val="3"/>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Speech concerns lawful activity and is not misleading</w:t>
      </w:r>
    </w:p>
    <w:p w14:paraId="1F4754F7" w14:textId="178A4DCA" w:rsidR="00FA1F11" w:rsidRPr="00FA1F11" w:rsidRDefault="00FA1F11" w:rsidP="00FA1F11">
      <w:pPr>
        <w:pStyle w:val="ListParagraph"/>
        <w:numPr>
          <w:ilvl w:val="3"/>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The restriction implements a substantial governmental interest</w:t>
      </w:r>
    </w:p>
    <w:p w14:paraId="2FD70976" w14:textId="7E5B1962" w:rsidR="00FA1F11" w:rsidRPr="00FA1F11" w:rsidRDefault="00FA1F11" w:rsidP="00FA1F11">
      <w:pPr>
        <w:pStyle w:val="ListParagraph"/>
        <w:numPr>
          <w:ilvl w:val="3"/>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Restriction directly advances that interest and</w:t>
      </w:r>
    </w:p>
    <w:p w14:paraId="07E9B778" w14:textId="450EAF74" w:rsidR="00FA1F11" w:rsidRPr="00FA1F11" w:rsidRDefault="00FA1F11" w:rsidP="00FA1F11">
      <w:pPr>
        <w:pStyle w:val="ListParagraph"/>
        <w:numPr>
          <w:ilvl w:val="3"/>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Reaches no further tan necessary to accomplish that interest</w:t>
      </w:r>
    </w:p>
    <w:p w14:paraId="5F6DBF65" w14:textId="50093BBA" w:rsidR="00FA1F11" w:rsidRPr="00FA1F11" w:rsidRDefault="00FA1F11" w:rsidP="00FA1F11">
      <w:pPr>
        <w:pStyle w:val="ListParagraph"/>
        <w:numPr>
          <w:ilvl w:val="2"/>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 xml:space="preserve">Noncommercial signs: </w:t>
      </w:r>
    </w:p>
    <w:p w14:paraId="0D453CCB" w14:textId="3816FE43" w:rsidR="00FA1F11" w:rsidRPr="00D2743E" w:rsidRDefault="00FA1F11" w:rsidP="00FA1F11">
      <w:pPr>
        <w:pStyle w:val="ListParagraph"/>
        <w:numPr>
          <w:ilvl w:val="3"/>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lastRenderedPageBreak/>
        <w:t>Content regulation valid only where compelling state interest and is narrowly tailored to achieve that interest</w:t>
      </w:r>
    </w:p>
    <w:p w14:paraId="65251918" w14:textId="2A8935B6" w:rsidR="00D2743E" w:rsidRPr="00D2743E" w:rsidRDefault="00D2743E" w:rsidP="00D2743E">
      <w:pPr>
        <w:pStyle w:val="ListParagraph"/>
        <w:numPr>
          <w:ilvl w:val="1"/>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Freedom of religion</w:t>
      </w:r>
    </w:p>
    <w:p w14:paraId="6CDE4C6C" w14:textId="7D1591E1" w:rsidR="00D2743E" w:rsidRPr="00D2743E" w:rsidRDefault="00D2743E" w:rsidP="00D2743E">
      <w:pPr>
        <w:pStyle w:val="ListParagraph"/>
        <w:numPr>
          <w:ilvl w:val="2"/>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 xml:space="preserve">Religious land use and institutionalized persons </w:t>
      </w:r>
      <w:proofErr w:type="gramStart"/>
      <w:r>
        <w:rPr>
          <w:rFonts w:ascii="Verdana" w:eastAsia="Times New Roman" w:hAnsi="Verdana" w:cs="Times New Roman"/>
          <w:sz w:val="20"/>
          <w:szCs w:val="20"/>
        </w:rPr>
        <w:t>Act:</w:t>
      </w:r>
      <w:proofErr w:type="gramEnd"/>
      <w:r>
        <w:rPr>
          <w:rFonts w:ascii="Verdana" w:eastAsia="Times New Roman" w:hAnsi="Verdana" w:cs="Times New Roman"/>
          <w:sz w:val="20"/>
          <w:szCs w:val="20"/>
        </w:rPr>
        <w:t xml:space="preserve"> protects uses from zoning ordinances that impose a substantial burden on the exercise of religion.  </w:t>
      </w:r>
    </w:p>
    <w:p w14:paraId="3F8A5D4C" w14:textId="37DF094C" w:rsidR="00D2743E" w:rsidRPr="00D2743E" w:rsidRDefault="00D2743E" w:rsidP="00D2743E">
      <w:pPr>
        <w:pStyle w:val="ListParagraph"/>
        <w:numPr>
          <w:ilvl w:val="3"/>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 xml:space="preserve">May be invoked where religious organization treated differently from social organization  </w:t>
      </w:r>
    </w:p>
    <w:p w14:paraId="02746FB8" w14:textId="1AC2D34C" w:rsidR="00D2743E" w:rsidRPr="00D2743E" w:rsidRDefault="00D2743E" w:rsidP="00D2743E">
      <w:pPr>
        <w:pStyle w:val="ListParagraph"/>
        <w:numPr>
          <w:ilvl w:val="1"/>
          <w:numId w:val="20"/>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1983</w:t>
      </w:r>
    </w:p>
    <w:p w14:paraId="3F30BD1D" w14:textId="728A7DAE" w:rsidR="00D2743E" w:rsidRDefault="00D2743E" w:rsidP="00D2743E">
      <w:pPr>
        <w:pStyle w:val="ListParagraph"/>
        <w:numPr>
          <w:ilvl w:val="2"/>
          <w:numId w:val="20"/>
        </w:numPr>
        <w:spacing w:after="0" w:line="240" w:lineRule="auto"/>
        <w:rPr>
          <w:rFonts w:ascii="Verdana" w:eastAsia="Times New Roman" w:hAnsi="Verdana" w:cs="Times New Roman"/>
          <w:sz w:val="20"/>
          <w:szCs w:val="20"/>
        </w:rPr>
      </w:pPr>
      <w:r w:rsidRPr="00D2743E">
        <w:rPr>
          <w:rFonts w:ascii="Verdana" w:eastAsia="Times New Roman" w:hAnsi="Verdana" w:cs="Times New Roman"/>
          <w:sz w:val="20"/>
          <w:szCs w:val="20"/>
        </w:rPr>
        <w:t xml:space="preserve">Applies if ones </w:t>
      </w:r>
      <w:proofErr w:type="gramStart"/>
      <w:r w:rsidRPr="00D2743E">
        <w:rPr>
          <w:rFonts w:ascii="Verdana" w:eastAsia="Times New Roman" w:hAnsi="Verdana" w:cs="Times New Roman"/>
          <w:sz w:val="20"/>
          <w:szCs w:val="20"/>
        </w:rPr>
        <w:t>rights</w:t>
      </w:r>
      <w:proofErr w:type="gramEnd"/>
      <w:r w:rsidRPr="00D2743E">
        <w:rPr>
          <w:rFonts w:ascii="Verdana" w:eastAsia="Times New Roman" w:hAnsi="Verdana" w:cs="Times New Roman"/>
          <w:sz w:val="20"/>
          <w:szCs w:val="20"/>
        </w:rPr>
        <w:t xml:space="preserve"> under federal constitution or statute violated under color of state law.  </w:t>
      </w:r>
    </w:p>
    <w:p w14:paraId="46047CF0" w14:textId="6FF9F86B" w:rsidR="00D2743E" w:rsidRDefault="00D2743E" w:rsidP="00D2743E">
      <w:pPr>
        <w:pStyle w:val="ListParagraph"/>
        <w:numPr>
          <w:ilvl w:val="2"/>
          <w:numId w:val="20"/>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Can raise equal protection claim based on land use reg</w:t>
      </w:r>
    </w:p>
    <w:p w14:paraId="63BC09B2" w14:textId="1430896A" w:rsidR="00D2743E" w:rsidRDefault="00D2743E" w:rsidP="00D2743E">
      <w:pPr>
        <w:pStyle w:val="ListParagraph"/>
        <w:numPr>
          <w:ilvl w:val="2"/>
          <w:numId w:val="20"/>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Substantive due process if can show:</w:t>
      </w:r>
    </w:p>
    <w:p w14:paraId="251463D4" w14:textId="32925BAC" w:rsidR="00D2743E" w:rsidRDefault="00D2743E" w:rsidP="00D2743E">
      <w:pPr>
        <w:pStyle w:val="ListParagraph"/>
        <w:numPr>
          <w:ilvl w:val="3"/>
          <w:numId w:val="20"/>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Property owner was deprived of constitutionally recognizable interest and</w:t>
      </w:r>
    </w:p>
    <w:p w14:paraId="33D3A788" w14:textId="0E3AB1ED" w:rsidR="00D2743E" w:rsidRDefault="00D2743E" w:rsidP="00D2743E">
      <w:pPr>
        <w:pStyle w:val="ListParagraph"/>
        <w:numPr>
          <w:ilvl w:val="3"/>
          <w:numId w:val="20"/>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 xml:space="preserve">The deprivation was the result of arbitrary and </w:t>
      </w:r>
      <w:proofErr w:type="spellStart"/>
      <w:r>
        <w:rPr>
          <w:rFonts w:ascii="Verdana" w:eastAsia="Times New Roman" w:hAnsi="Verdana" w:cs="Times New Roman"/>
          <w:sz w:val="20"/>
          <w:szCs w:val="20"/>
        </w:rPr>
        <w:t>caprcious</w:t>
      </w:r>
      <w:proofErr w:type="spellEnd"/>
      <w:r>
        <w:rPr>
          <w:rFonts w:ascii="Verdana" w:eastAsia="Times New Roman" w:hAnsi="Verdana" w:cs="Times New Roman"/>
          <w:sz w:val="20"/>
          <w:szCs w:val="20"/>
        </w:rPr>
        <w:t xml:space="preserve"> action b local government</w:t>
      </w:r>
    </w:p>
    <w:p w14:paraId="7CC8997A" w14:textId="686C971E" w:rsidR="00D2743E" w:rsidRDefault="00D2743E" w:rsidP="00D2743E">
      <w:pPr>
        <w:pStyle w:val="ListParagraph"/>
        <w:numPr>
          <w:ilvl w:val="2"/>
          <w:numId w:val="20"/>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 xml:space="preserve">Can allege “class of one” claim where intentionally treated different from others similarly situated.  </w:t>
      </w:r>
    </w:p>
    <w:p w14:paraId="28EE42EE" w14:textId="78303949" w:rsidR="00D2743E" w:rsidRDefault="00D2743E" w:rsidP="00D2743E">
      <w:pPr>
        <w:pStyle w:val="ListParagraph"/>
        <w:numPr>
          <w:ilvl w:val="2"/>
          <w:numId w:val="20"/>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Elements:</w:t>
      </w:r>
    </w:p>
    <w:p w14:paraId="6D129FBA" w14:textId="242B1FF3" w:rsidR="00D2743E" w:rsidRDefault="00D2743E" w:rsidP="00D2743E">
      <w:pPr>
        <w:pStyle w:val="ListParagraph"/>
        <w:numPr>
          <w:ilvl w:val="3"/>
          <w:numId w:val="20"/>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Standing</w:t>
      </w:r>
    </w:p>
    <w:p w14:paraId="429994FE" w14:textId="3AD291C7" w:rsidR="00D2743E" w:rsidRDefault="00D2743E" w:rsidP="00D2743E">
      <w:pPr>
        <w:pStyle w:val="ListParagraph"/>
        <w:numPr>
          <w:ilvl w:val="3"/>
          <w:numId w:val="20"/>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Deprivation of a federal right</w:t>
      </w:r>
    </w:p>
    <w:p w14:paraId="3B2F510A" w14:textId="58EFFB4C" w:rsidR="00D2743E" w:rsidRDefault="00D2743E" w:rsidP="00D2743E">
      <w:pPr>
        <w:pStyle w:val="ListParagraph"/>
        <w:numPr>
          <w:ilvl w:val="3"/>
          <w:numId w:val="20"/>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Deprivation occurred under color of state law</w:t>
      </w:r>
    </w:p>
    <w:p w14:paraId="098889E6" w14:textId="7816F9C7" w:rsidR="00D2743E" w:rsidRDefault="00D2743E" w:rsidP="00D2743E">
      <w:pPr>
        <w:pStyle w:val="ListParagraph"/>
        <w:numPr>
          <w:ilvl w:val="3"/>
          <w:numId w:val="20"/>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Injury in fact</w:t>
      </w:r>
    </w:p>
    <w:p w14:paraId="24794F71" w14:textId="52004A4A" w:rsidR="00D2743E" w:rsidRDefault="00D2743E" w:rsidP="00D2743E">
      <w:pPr>
        <w:pStyle w:val="ListParagraph"/>
        <w:numPr>
          <w:ilvl w:val="3"/>
          <w:numId w:val="20"/>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Defendant is not immune</w:t>
      </w:r>
    </w:p>
    <w:p w14:paraId="702EDB7C" w14:textId="15B20C7D" w:rsidR="00D2743E" w:rsidRDefault="00D2743E" w:rsidP="00D2743E">
      <w:pPr>
        <w:pStyle w:val="ListParagraph"/>
        <w:numPr>
          <w:ilvl w:val="3"/>
          <w:numId w:val="20"/>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More than nominal damages</w:t>
      </w:r>
    </w:p>
    <w:p w14:paraId="6A95E170" w14:textId="6F05505E" w:rsidR="00D2743E" w:rsidRDefault="00D2743E" w:rsidP="00D2743E">
      <w:pPr>
        <w:pStyle w:val="ListParagraph"/>
        <w:numPr>
          <w:ilvl w:val="2"/>
          <w:numId w:val="20"/>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Qualified immunity</w:t>
      </w:r>
    </w:p>
    <w:p w14:paraId="78AEADAF" w14:textId="2EC1C5DD" w:rsidR="00D2743E" w:rsidRDefault="00D2743E" w:rsidP="00D2743E">
      <w:pPr>
        <w:pStyle w:val="ListParagraph"/>
        <w:numPr>
          <w:ilvl w:val="3"/>
          <w:numId w:val="20"/>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Applies if action does not violate clearly established statutory or constitutional right of which reasonable person would have known</w:t>
      </w:r>
    </w:p>
    <w:p w14:paraId="5AD0780A" w14:textId="42E1AF78" w:rsidR="00D2743E" w:rsidRDefault="00D2743E" w:rsidP="00D2743E">
      <w:pPr>
        <w:pStyle w:val="ListParagraph"/>
        <w:numPr>
          <w:ilvl w:val="2"/>
          <w:numId w:val="20"/>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Absolute immunity: applies where governmental officials in a quasi-judicial function</w:t>
      </w:r>
    </w:p>
    <w:p w14:paraId="67157206" w14:textId="37471CC4" w:rsidR="00D2743E" w:rsidRDefault="00D2743E" w:rsidP="00D2743E">
      <w:p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u w:val="single"/>
        </w:rPr>
        <w:t xml:space="preserve">1996 </w:t>
      </w:r>
      <w:proofErr w:type="spellStart"/>
      <w:r>
        <w:rPr>
          <w:rFonts w:ascii="Verdana" w:eastAsia="Times New Roman" w:hAnsi="Verdana" w:cs="Times New Roman"/>
          <w:sz w:val="20"/>
          <w:szCs w:val="20"/>
          <w:u w:val="single"/>
        </w:rPr>
        <w:t>Telecommuncations</w:t>
      </w:r>
      <w:proofErr w:type="spellEnd"/>
      <w:r>
        <w:rPr>
          <w:rFonts w:ascii="Verdana" w:eastAsia="Times New Roman" w:hAnsi="Verdana" w:cs="Times New Roman"/>
          <w:sz w:val="20"/>
          <w:szCs w:val="20"/>
          <w:u w:val="single"/>
        </w:rPr>
        <w:t xml:space="preserve"> Act</w:t>
      </w:r>
    </w:p>
    <w:p w14:paraId="3E275023" w14:textId="75D520A9" w:rsidR="00D2743E" w:rsidRPr="001616DB" w:rsidRDefault="00D2743E" w:rsidP="00D2743E">
      <w:pPr>
        <w:pStyle w:val="ListParagraph"/>
        <w:numPr>
          <w:ilvl w:val="0"/>
          <w:numId w:val="21"/>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Limits regulation on cellular telephone towers where they unreasonably discriminate among providers of functionally equivalent services and cannot prohibit personal wireless services</w:t>
      </w:r>
    </w:p>
    <w:p w14:paraId="0C52DBB3" w14:textId="5E9CBF67" w:rsidR="001616DB" w:rsidRDefault="001616DB" w:rsidP="001616DB">
      <w:pPr>
        <w:spacing w:after="0" w:line="240" w:lineRule="auto"/>
        <w:rPr>
          <w:rFonts w:ascii="Verdana" w:eastAsia="Times New Roman" w:hAnsi="Verdana" w:cs="Times New Roman"/>
          <w:sz w:val="20"/>
          <w:szCs w:val="20"/>
          <w:u w:val="single"/>
        </w:rPr>
      </w:pPr>
    </w:p>
    <w:p w14:paraId="3E67C85B" w14:textId="520BA18F" w:rsidR="001616DB" w:rsidRDefault="001616DB" w:rsidP="001616DB">
      <w:pPr>
        <w:spacing w:after="0" w:line="240" w:lineRule="auto"/>
        <w:rPr>
          <w:rFonts w:ascii="Verdana" w:eastAsia="Times New Roman" w:hAnsi="Verdana" w:cs="Times New Roman"/>
          <w:sz w:val="20"/>
          <w:szCs w:val="20"/>
        </w:rPr>
      </w:pPr>
      <w:r>
        <w:rPr>
          <w:rFonts w:ascii="Verdana" w:eastAsia="Times New Roman" w:hAnsi="Verdana" w:cs="Times New Roman"/>
          <w:sz w:val="20"/>
          <w:szCs w:val="20"/>
          <w:u w:val="single"/>
        </w:rPr>
        <w:t>Misc. Statutory limits</w:t>
      </w:r>
    </w:p>
    <w:p w14:paraId="2341CC6F" w14:textId="003E1C38" w:rsidR="001616DB" w:rsidRDefault="001616DB" w:rsidP="001616DB">
      <w:pPr>
        <w:pStyle w:val="ListParagraph"/>
        <w:numPr>
          <w:ilvl w:val="0"/>
          <w:numId w:val="21"/>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 xml:space="preserve">Right to farm act (823.14)—cannot regulate </w:t>
      </w:r>
      <w:proofErr w:type="spellStart"/>
      <w:r>
        <w:rPr>
          <w:rFonts w:ascii="Verdana" w:eastAsia="Times New Roman" w:hAnsi="Verdana" w:cs="Times New Roman"/>
          <w:sz w:val="20"/>
          <w:szCs w:val="20"/>
        </w:rPr>
        <w:t>activites</w:t>
      </w:r>
      <w:proofErr w:type="spellEnd"/>
      <w:r>
        <w:rPr>
          <w:rFonts w:ascii="Verdana" w:eastAsia="Times New Roman" w:hAnsi="Verdana" w:cs="Times New Roman"/>
          <w:sz w:val="20"/>
          <w:szCs w:val="20"/>
        </w:rPr>
        <w:t xml:space="preserve"> of a farm operation on lands classified as ag where activity is regulated through best management practices</w:t>
      </w:r>
    </w:p>
    <w:p w14:paraId="69CD3894" w14:textId="0222BB09" w:rsidR="001616DB" w:rsidRDefault="001616DB" w:rsidP="001616DB">
      <w:pPr>
        <w:pStyle w:val="ListParagraph"/>
        <w:numPr>
          <w:ilvl w:val="1"/>
          <w:numId w:val="21"/>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Non-residential farm buildings are exempt from county or municipal code or fee</w:t>
      </w:r>
    </w:p>
    <w:p w14:paraId="096DEAF7" w14:textId="1AC182BA" w:rsidR="001616DB" w:rsidRDefault="001616DB" w:rsidP="001616DB">
      <w:pPr>
        <w:pStyle w:val="ListParagraph"/>
        <w:numPr>
          <w:ilvl w:val="0"/>
          <w:numId w:val="21"/>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 xml:space="preserve">Short term vacation </w:t>
      </w:r>
      <w:proofErr w:type="gramStart"/>
      <w:r>
        <w:rPr>
          <w:rFonts w:ascii="Verdana" w:eastAsia="Times New Roman" w:hAnsi="Verdana" w:cs="Times New Roman"/>
          <w:sz w:val="20"/>
          <w:szCs w:val="20"/>
        </w:rPr>
        <w:t>rentals:</w:t>
      </w:r>
      <w:proofErr w:type="gramEnd"/>
      <w:r>
        <w:rPr>
          <w:rFonts w:ascii="Verdana" w:eastAsia="Times New Roman" w:hAnsi="Verdana" w:cs="Times New Roman"/>
          <w:sz w:val="20"/>
          <w:szCs w:val="20"/>
        </w:rPr>
        <w:t xml:space="preserve"> prohibits a local government from banning vacation rentals (509.032)</w:t>
      </w:r>
    </w:p>
    <w:p w14:paraId="0CC0CCE6" w14:textId="6333AE4E" w:rsidR="001616DB" w:rsidRDefault="001616DB" w:rsidP="001616DB">
      <w:pPr>
        <w:pStyle w:val="ListParagraph"/>
        <w:numPr>
          <w:ilvl w:val="0"/>
          <w:numId w:val="21"/>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Family daycare ad community residential homes preemption</w:t>
      </w:r>
      <w:r w:rsidRPr="001616DB">
        <w:rPr>
          <w:rFonts w:ascii="Verdana" w:eastAsia="Times New Roman" w:hAnsi="Verdana" w:cs="Times New Roman"/>
          <w:sz w:val="20"/>
          <w:szCs w:val="20"/>
        </w:rPr>
        <w:t xml:space="preserve"> (166.0445)</w:t>
      </w:r>
    </w:p>
    <w:p w14:paraId="50B2E4F7" w14:textId="14018B86" w:rsidR="001616DB" w:rsidRDefault="001616DB" w:rsidP="001616DB">
      <w:pPr>
        <w:pStyle w:val="ListParagraph"/>
        <w:numPr>
          <w:ilvl w:val="0"/>
          <w:numId w:val="21"/>
        </w:numPr>
        <w:spacing w:after="0" w:line="240" w:lineRule="auto"/>
        <w:rPr>
          <w:rFonts w:ascii="Verdana" w:eastAsia="Times New Roman" w:hAnsi="Verdana" w:cs="Times New Roman"/>
          <w:sz w:val="20"/>
          <w:szCs w:val="20"/>
        </w:rPr>
      </w:pPr>
      <w:proofErr w:type="spellStart"/>
      <w:r>
        <w:rPr>
          <w:rFonts w:ascii="Verdana" w:eastAsia="Times New Roman" w:hAnsi="Verdana" w:cs="Times New Roman"/>
          <w:sz w:val="20"/>
          <w:szCs w:val="20"/>
        </w:rPr>
        <w:t>Agrotourism</w:t>
      </w:r>
      <w:proofErr w:type="spellEnd"/>
      <w:r>
        <w:rPr>
          <w:rFonts w:ascii="Verdana" w:eastAsia="Times New Roman" w:hAnsi="Verdana" w:cs="Times New Roman"/>
          <w:sz w:val="20"/>
          <w:szCs w:val="20"/>
        </w:rPr>
        <w:t xml:space="preserve"> protections provided under 570.85</w:t>
      </w:r>
    </w:p>
    <w:p w14:paraId="1A525AB7" w14:textId="6C77BAE1" w:rsidR="001616DB" w:rsidRDefault="001616DB" w:rsidP="001616DB">
      <w:pPr>
        <w:spacing w:after="0" w:line="240" w:lineRule="auto"/>
        <w:rPr>
          <w:rFonts w:ascii="Verdana" w:eastAsia="Times New Roman" w:hAnsi="Verdana" w:cs="Times New Roman"/>
          <w:sz w:val="20"/>
          <w:szCs w:val="20"/>
        </w:rPr>
      </w:pPr>
    </w:p>
    <w:p w14:paraId="48492BAB" w14:textId="3A1D288C" w:rsidR="001616DB" w:rsidRDefault="001616DB" w:rsidP="001616DB">
      <w:pPr>
        <w:spacing w:after="0" w:line="240" w:lineRule="auto"/>
        <w:rPr>
          <w:rFonts w:ascii="Verdana" w:eastAsia="Times New Roman" w:hAnsi="Verdana" w:cs="Times New Roman"/>
          <w:sz w:val="20"/>
          <w:szCs w:val="20"/>
        </w:rPr>
      </w:pPr>
    </w:p>
    <w:p w14:paraId="0BA94C25" w14:textId="3C511147" w:rsidR="001616DB" w:rsidRDefault="001616DB" w:rsidP="001616DB">
      <w:pPr>
        <w:spacing w:after="0" w:line="240" w:lineRule="auto"/>
        <w:rPr>
          <w:rFonts w:ascii="Verdana" w:eastAsia="Times New Roman" w:hAnsi="Verdana" w:cs="Times New Roman"/>
          <w:sz w:val="20"/>
          <w:szCs w:val="20"/>
        </w:rPr>
      </w:pPr>
      <w:r>
        <w:rPr>
          <w:rFonts w:ascii="Verdana" w:eastAsia="Times New Roman" w:hAnsi="Verdana" w:cs="Times New Roman"/>
          <w:sz w:val="20"/>
          <w:szCs w:val="20"/>
          <w:u w:val="single"/>
        </w:rPr>
        <w:t>Bert Harris</w:t>
      </w:r>
    </w:p>
    <w:p w14:paraId="0D10A6BD" w14:textId="4116798E" w:rsidR="001616DB" w:rsidRDefault="001616DB" w:rsidP="001616DB">
      <w:pPr>
        <w:pStyle w:val="ListParagraph"/>
        <w:numPr>
          <w:ilvl w:val="0"/>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Purpose: provides remedies for owners of property that has been inordinately burdened by state, regional, or local government action.  Does not have to rise to level of taking</w:t>
      </w:r>
    </w:p>
    <w:p w14:paraId="1642039F" w14:textId="3D0FC5D8" w:rsidR="001616DB" w:rsidRDefault="001616DB" w:rsidP="001616DB">
      <w:pPr>
        <w:pStyle w:val="ListParagraph"/>
        <w:numPr>
          <w:ilvl w:val="0"/>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lastRenderedPageBreak/>
        <w:t>Exemptions:</w:t>
      </w:r>
    </w:p>
    <w:p w14:paraId="2125D30D" w14:textId="055A098B" w:rsidR="001616DB" w:rsidRDefault="001616DB" w:rsidP="001616DB">
      <w:pPr>
        <w:pStyle w:val="ListParagraph"/>
        <w:numPr>
          <w:ilvl w:val="1"/>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 xml:space="preserve">Rules, regulations, or </w:t>
      </w:r>
      <w:proofErr w:type="spellStart"/>
      <w:r>
        <w:rPr>
          <w:rFonts w:ascii="Verdana" w:eastAsia="Times New Roman" w:hAnsi="Verdana" w:cs="Times New Roman"/>
          <w:sz w:val="20"/>
          <w:szCs w:val="20"/>
        </w:rPr>
        <w:t>ordinacnes</w:t>
      </w:r>
      <w:proofErr w:type="spellEnd"/>
      <w:r>
        <w:rPr>
          <w:rFonts w:ascii="Verdana" w:eastAsia="Times New Roman" w:hAnsi="Verdana" w:cs="Times New Roman"/>
          <w:sz w:val="20"/>
          <w:szCs w:val="20"/>
        </w:rPr>
        <w:t xml:space="preserve"> adopted prior to May 11, 1995</w:t>
      </w:r>
    </w:p>
    <w:p w14:paraId="6A2CDBA8" w14:textId="6C3651B3" w:rsidR="001616DB" w:rsidRDefault="001616DB" w:rsidP="001616DB">
      <w:pPr>
        <w:pStyle w:val="ListParagraph"/>
        <w:numPr>
          <w:ilvl w:val="1"/>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Those related to operation maintenance or expansion of transportation facilities</w:t>
      </w:r>
    </w:p>
    <w:p w14:paraId="7AE92BD9" w14:textId="5BEBA306" w:rsidR="001616DB" w:rsidRDefault="001616DB" w:rsidP="001616DB">
      <w:pPr>
        <w:pStyle w:val="ListParagraph"/>
        <w:numPr>
          <w:ilvl w:val="1"/>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Those related to eminent domain</w:t>
      </w:r>
    </w:p>
    <w:p w14:paraId="79D9F4FE" w14:textId="259C47B6" w:rsidR="001616DB" w:rsidRDefault="001616DB" w:rsidP="001616DB">
      <w:pPr>
        <w:pStyle w:val="ListParagraph"/>
        <w:numPr>
          <w:ilvl w:val="1"/>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And those related to adoption of flood insurance rate maps unless incorrectly applied to property</w:t>
      </w:r>
    </w:p>
    <w:p w14:paraId="7777D11A" w14:textId="16447691" w:rsidR="001616DB" w:rsidRDefault="001616DB" w:rsidP="001616DB">
      <w:pPr>
        <w:pStyle w:val="ListParagraph"/>
        <w:numPr>
          <w:ilvl w:val="0"/>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 xml:space="preserve">Neighboring property owners cannot make a claim (limited to property owners who must be subject of and directly impacted by action).  </w:t>
      </w:r>
    </w:p>
    <w:p w14:paraId="2A2E3E1E" w14:textId="5B856207" w:rsidR="001616DB" w:rsidRDefault="001616DB" w:rsidP="001616DB">
      <w:pPr>
        <w:pStyle w:val="ListParagraph"/>
        <w:numPr>
          <w:ilvl w:val="1"/>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 xml:space="preserve">Government cannot be property owner under </w:t>
      </w:r>
      <w:proofErr w:type="spellStart"/>
      <w:r>
        <w:rPr>
          <w:rFonts w:ascii="Verdana" w:eastAsia="Times New Roman" w:hAnsi="Verdana" w:cs="Times New Roman"/>
          <w:sz w:val="20"/>
          <w:szCs w:val="20"/>
        </w:rPr>
        <w:t>harris</w:t>
      </w:r>
      <w:proofErr w:type="spellEnd"/>
      <w:r>
        <w:rPr>
          <w:rFonts w:ascii="Verdana" w:eastAsia="Times New Roman" w:hAnsi="Verdana" w:cs="Times New Roman"/>
          <w:sz w:val="20"/>
          <w:szCs w:val="20"/>
        </w:rPr>
        <w:t xml:space="preserve"> act</w:t>
      </w:r>
    </w:p>
    <w:p w14:paraId="270EA014" w14:textId="204781F3" w:rsidR="001616DB" w:rsidRDefault="001616DB" w:rsidP="001616DB">
      <w:pPr>
        <w:pStyle w:val="ListParagraph"/>
        <w:numPr>
          <w:ilvl w:val="0"/>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 xml:space="preserve">Existing use is not limited to actual present use but also includes </w:t>
      </w:r>
      <w:proofErr w:type="gramStart"/>
      <w:r>
        <w:rPr>
          <w:rFonts w:ascii="Verdana" w:eastAsia="Times New Roman" w:hAnsi="Verdana" w:cs="Times New Roman"/>
          <w:sz w:val="20"/>
          <w:szCs w:val="20"/>
        </w:rPr>
        <w:t>reasonable</w:t>
      </w:r>
      <w:proofErr w:type="gramEnd"/>
      <w:r>
        <w:rPr>
          <w:rFonts w:ascii="Verdana" w:eastAsia="Times New Roman" w:hAnsi="Verdana" w:cs="Times New Roman"/>
          <w:sz w:val="20"/>
          <w:szCs w:val="20"/>
        </w:rPr>
        <w:t xml:space="preserve"> foreseeable, non-speculative land uses which are suitable and compatible with adjacent land uses</w:t>
      </w:r>
    </w:p>
    <w:p w14:paraId="72511713" w14:textId="5BAC3B9C" w:rsidR="001616DB" w:rsidRDefault="001616DB" w:rsidP="001616DB">
      <w:pPr>
        <w:pStyle w:val="ListParagraph"/>
        <w:numPr>
          <w:ilvl w:val="1"/>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 xml:space="preserve">If land was previously conservation or preservation area, no </w:t>
      </w:r>
      <w:proofErr w:type="spellStart"/>
      <w:r>
        <w:rPr>
          <w:rFonts w:ascii="Verdana" w:eastAsia="Times New Roman" w:hAnsi="Verdana" w:cs="Times New Roman"/>
          <w:sz w:val="20"/>
          <w:szCs w:val="20"/>
        </w:rPr>
        <w:t>harris</w:t>
      </w:r>
      <w:proofErr w:type="spellEnd"/>
      <w:r>
        <w:rPr>
          <w:rFonts w:ascii="Verdana" w:eastAsia="Times New Roman" w:hAnsi="Verdana" w:cs="Times New Roman"/>
          <w:sz w:val="20"/>
          <w:szCs w:val="20"/>
        </w:rPr>
        <w:t xml:space="preserve"> claim</w:t>
      </w:r>
    </w:p>
    <w:p w14:paraId="7977AB75" w14:textId="74C39BBA" w:rsidR="001616DB" w:rsidRDefault="001616DB" w:rsidP="001616DB">
      <w:pPr>
        <w:pStyle w:val="ListParagraph"/>
        <w:numPr>
          <w:ilvl w:val="1"/>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Denial of permit extension for a time limited conditional use does not constitute an inordinate burden on property</w:t>
      </w:r>
    </w:p>
    <w:p w14:paraId="0F3A31B3" w14:textId="66BEDD14" w:rsidR="001616DB" w:rsidRDefault="001616DB" w:rsidP="001616DB">
      <w:pPr>
        <w:pStyle w:val="ListParagraph"/>
        <w:numPr>
          <w:ilvl w:val="0"/>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Inordinate burden—action which directly restricts and limits use of real property so that the property owner is permanently unable to obtain the rea</w:t>
      </w:r>
      <w:r w:rsidR="008F0F78">
        <w:rPr>
          <w:rFonts w:ascii="Verdana" w:eastAsia="Times New Roman" w:hAnsi="Verdana" w:cs="Times New Roman"/>
          <w:sz w:val="20"/>
          <w:szCs w:val="20"/>
        </w:rPr>
        <w:t xml:space="preserve">sonable, investment backed expectations of an existing use of the property or a vested right to a use, or that the property owner is left with uses which are unreasonable such that the </w:t>
      </w:r>
      <w:proofErr w:type="spellStart"/>
      <w:r w:rsidR="008F0F78">
        <w:rPr>
          <w:rFonts w:ascii="Verdana" w:eastAsia="Times New Roman" w:hAnsi="Verdana" w:cs="Times New Roman"/>
          <w:sz w:val="20"/>
          <w:szCs w:val="20"/>
        </w:rPr>
        <w:t>proepryt</w:t>
      </w:r>
      <w:proofErr w:type="spellEnd"/>
      <w:r w:rsidR="008F0F78">
        <w:rPr>
          <w:rFonts w:ascii="Verdana" w:eastAsia="Times New Roman" w:hAnsi="Verdana" w:cs="Times New Roman"/>
          <w:sz w:val="20"/>
          <w:szCs w:val="20"/>
        </w:rPr>
        <w:t xml:space="preserve"> owner bears a disproportionate burden for the public good</w:t>
      </w:r>
    </w:p>
    <w:p w14:paraId="43342FBE" w14:textId="1C6586C5" w:rsidR="008F0F78" w:rsidRDefault="008F0F78" w:rsidP="008F0F78">
      <w:pPr>
        <w:pStyle w:val="ListParagraph"/>
        <w:numPr>
          <w:ilvl w:val="1"/>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Closure of public road odes not inordinately burden an existing use or vested property right</w:t>
      </w:r>
    </w:p>
    <w:p w14:paraId="7DEFF6EC" w14:textId="44FD026F" w:rsidR="008F0F78" w:rsidRDefault="008F0F78" w:rsidP="008F0F78">
      <w:pPr>
        <w:pStyle w:val="ListParagraph"/>
        <w:numPr>
          <w:ilvl w:val="0"/>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Procedures:</w:t>
      </w:r>
    </w:p>
    <w:p w14:paraId="3D3467D5" w14:textId="77777777" w:rsidR="008F0F78" w:rsidRDefault="008F0F78" w:rsidP="008F0F78">
      <w:pPr>
        <w:pStyle w:val="ListParagraph"/>
        <w:numPr>
          <w:ilvl w:val="1"/>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 xml:space="preserve">Pre-litigation: property owner must file claim within one year of action; must have sought permit variance or other formal relief; </w:t>
      </w:r>
    </w:p>
    <w:p w14:paraId="39533437" w14:textId="1E8029ED" w:rsidR="008F0F78" w:rsidRDefault="008F0F78" w:rsidP="008F0F78">
      <w:pPr>
        <w:pStyle w:val="ListParagraph"/>
        <w:numPr>
          <w:ilvl w:val="1"/>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must submit written claim to head of agency along with valid pre-</w:t>
      </w:r>
      <w:proofErr w:type="spellStart"/>
      <w:r>
        <w:rPr>
          <w:rFonts w:ascii="Verdana" w:eastAsia="Times New Roman" w:hAnsi="Verdana" w:cs="Times New Roman"/>
          <w:sz w:val="20"/>
          <w:szCs w:val="20"/>
        </w:rPr>
        <w:t>regulaiton</w:t>
      </w:r>
      <w:proofErr w:type="spellEnd"/>
      <w:r>
        <w:rPr>
          <w:rFonts w:ascii="Verdana" w:eastAsia="Times New Roman" w:hAnsi="Verdana" w:cs="Times New Roman"/>
          <w:sz w:val="20"/>
          <w:szCs w:val="20"/>
        </w:rPr>
        <w:t xml:space="preserve"> and post regulation appraisal to support claim and loss of market value</w:t>
      </w:r>
    </w:p>
    <w:p w14:paraId="35D530E1" w14:textId="0BD873D3" w:rsidR="008F0F78" w:rsidRDefault="008F0F78" w:rsidP="008F0F78">
      <w:pPr>
        <w:pStyle w:val="ListParagraph"/>
        <w:numPr>
          <w:ilvl w:val="2"/>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 xml:space="preserve">Must be presented no less than 150 </w:t>
      </w:r>
      <w:proofErr w:type="spellStart"/>
      <w:r>
        <w:rPr>
          <w:rFonts w:ascii="Verdana" w:eastAsia="Times New Roman" w:hAnsi="Verdana" w:cs="Times New Roman"/>
          <w:sz w:val="20"/>
          <w:szCs w:val="20"/>
        </w:rPr>
        <w:t>dyas</w:t>
      </w:r>
      <w:proofErr w:type="spellEnd"/>
      <w:r>
        <w:rPr>
          <w:rFonts w:ascii="Verdana" w:eastAsia="Times New Roman" w:hAnsi="Verdana" w:cs="Times New Roman"/>
          <w:sz w:val="20"/>
          <w:szCs w:val="20"/>
        </w:rPr>
        <w:t xml:space="preserve"> prior to filing action in circuit court</w:t>
      </w:r>
    </w:p>
    <w:p w14:paraId="09E02592" w14:textId="5E6A3EE1" w:rsidR="008F0F78" w:rsidRDefault="008F0F78" w:rsidP="008F0F78">
      <w:pPr>
        <w:pStyle w:val="ListParagraph"/>
        <w:numPr>
          <w:ilvl w:val="2"/>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Government must make a written statement offer which does one of following:</w:t>
      </w:r>
    </w:p>
    <w:p w14:paraId="2CFB2C69" w14:textId="3E6E444E" w:rsidR="008F0F78" w:rsidRDefault="008F0F78" w:rsidP="008F0F78">
      <w:pPr>
        <w:pStyle w:val="ListParagraph"/>
        <w:numPr>
          <w:ilvl w:val="3"/>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Provides for adjustment to standards of permit</w:t>
      </w:r>
    </w:p>
    <w:p w14:paraId="273F3E40" w14:textId="251627D8" w:rsidR="008F0F78" w:rsidRDefault="008F0F78" w:rsidP="008F0F78">
      <w:pPr>
        <w:pStyle w:val="ListParagraph"/>
        <w:numPr>
          <w:ilvl w:val="3"/>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Increases or modifies density</w:t>
      </w:r>
    </w:p>
    <w:p w14:paraId="1F9D828F" w14:textId="75870B70" w:rsidR="008F0F78" w:rsidRDefault="008F0F78" w:rsidP="008F0F78">
      <w:pPr>
        <w:pStyle w:val="ListParagraph"/>
        <w:numPr>
          <w:ilvl w:val="3"/>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Provides transfer of development rights</w:t>
      </w:r>
    </w:p>
    <w:p w14:paraId="58CEB5AE" w14:textId="6DD91D60" w:rsidR="008F0F78" w:rsidRDefault="008F0F78" w:rsidP="008F0F78">
      <w:pPr>
        <w:pStyle w:val="ListParagraph"/>
        <w:numPr>
          <w:ilvl w:val="3"/>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Land swap</w:t>
      </w:r>
    </w:p>
    <w:p w14:paraId="3D48CB69" w14:textId="783423AE" w:rsidR="008F0F78" w:rsidRDefault="008F0F78" w:rsidP="008F0F78">
      <w:pPr>
        <w:pStyle w:val="ListParagraph"/>
        <w:numPr>
          <w:ilvl w:val="3"/>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Provides for mitigation or payment in lieu of onsite mitigation</w:t>
      </w:r>
    </w:p>
    <w:p w14:paraId="122CDF27" w14:textId="367D11D3" w:rsidR="008F0F78" w:rsidRDefault="008F0F78" w:rsidP="008F0F78">
      <w:pPr>
        <w:pStyle w:val="ListParagraph"/>
        <w:numPr>
          <w:ilvl w:val="3"/>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Provides for location of development on least sensitive portion of site</w:t>
      </w:r>
    </w:p>
    <w:p w14:paraId="34B61820" w14:textId="4D2AE431" w:rsidR="008F0F78" w:rsidRDefault="008F0F78" w:rsidP="008F0F78">
      <w:pPr>
        <w:pStyle w:val="ListParagraph"/>
        <w:numPr>
          <w:ilvl w:val="3"/>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 xml:space="preserve">Conditions amount of development </w:t>
      </w:r>
    </w:p>
    <w:p w14:paraId="01811754" w14:textId="2F62DBAD" w:rsidR="008F0F78" w:rsidRDefault="008F0F78" w:rsidP="008F0F78">
      <w:pPr>
        <w:pStyle w:val="ListParagraph"/>
        <w:numPr>
          <w:ilvl w:val="3"/>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Requires issues to be addressed on a more comprehensive basis</w:t>
      </w:r>
    </w:p>
    <w:p w14:paraId="7E923D1B" w14:textId="47FE0B9A" w:rsidR="008F0F78" w:rsidRDefault="008F0F78" w:rsidP="008F0F78">
      <w:pPr>
        <w:pStyle w:val="ListParagraph"/>
        <w:numPr>
          <w:ilvl w:val="3"/>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Issues an order, variance, or special exception</w:t>
      </w:r>
    </w:p>
    <w:p w14:paraId="780FF5B3" w14:textId="50191C24" w:rsidR="008F0F78" w:rsidRDefault="008F0F78" w:rsidP="008F0F78">
      <w:pPr>
        <w:pStyle w:val="ListParagraph"/>
        <w:numPr>
          <w:ilvl w:val="3"/>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 xml:space="preserve">Purchases some or </w:t>
      </w:r>
      <w:proofErr w:type="gramStart"/>
      <w:r>
        <w:rPr>
          <w:rFonts w:ascii="Verdana" w:eastAsia="Times New Roman" w:hAnsi="Verdana" w:cs="Times New Roman"/>
          <w:sz w:val="20"/>
          <w:szCs w:val="20"/>
        </w:rPr>
        <w:t>all of</w:t>
      </w:r>
      <w:proofErr w:type="gramEnd"/>
      <w:r>
        <w:rPr>
          <w:rFonts w:ascii="Verdana" w:eastAsia="Times New Roman" w:hAnsi="Verdana" w:cs="Times New Roman"/>
          <w:sz w:val="20"/>
          <w:szCs w:val="20"/>
        </w:rPr>
        <w:t xml:space="preserve"> the property</w:t>
      </w:r>
    </w:p>
    <w:p w14:paraId="6E59752E" w14:textId="6B8D4BBE" w:rsidR="008F0F78" w:rsidRDefault="008F0F78" w:rsidP="008F0F78">
      <w:pPr>
        <w:pStyle w:val="ListParagraph"/>
        <w:numPr>
          <w:ilvl w:val="3"/>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Results in no change</w:t>
      </w:r>
    </w:p>
    <w:p w14:paraId="269FA6FE" w14:textId="189A68F5" w:rsidR="008F0F78" w:rsidRDefault="008F0F78" w:rsidP="008F0F78">
      <w:pPr>
        <w:pStyle w:val="ListParagraph"/>
        <w:numPr>
          <w:ilvl w:val="2"/>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 xml:space="preserve">If offer would violate ordinance or LDR, must be appropriate relief for property owner while </w:t>
      </w:r>
      <w:proofErr w:type="spellStart"/>
      <w:r>
        <w:rPr>
          <w:rFonts w:ascii="Verdana" w:eastAsia="Times New Roman" w:hAnsi="Verdana" w:cs="Times New Roman"/>
          <w:sz w:val="20"/>
          <w:szCs w:val="20"/>
        </w:rPr>
        <w:t>protecitning</w:t>
      </w:r>
      <w:proofErr w:type="spellEnd"/>
      <w:r>
        <w:rPr>
          <w:rFonts w:ascii="Verdana" w:eastAsia="Times New Roman" w:hAnsi="Verdana" w:cs="Times New Roman"/>
          <w:sz w:val="20"/>
          <w:szCs w:val="20"/>
        </w:rPr>
        <w:t xml:space="preserve"> public interest</w:t>
      </w:r>
    </w:p>
    <w:p w14:paraId="76B9456F" w14:textId="61E6D335" w:rsidR="008F0F78" w:rsidRDefault="008F0F78" w:rsidP="008F0F78">
      <w:pPr>
        <w:pStyle w:val="ListParagraph"/>
        <w:numPr>
          <w:ilvl w:val="2"/>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If offer would violate statute, must file for joint approval in circuit court</w:t>
      </w:r>
    </w:p>
    <w:p w14:paraId="6F41874C" w14:textId="437E3FE7" w:rsidR="008F0F78" w:rsidRDefault="008F0F78" w:rsidP="008F0F78">
      <w:pPr>
        <w:pStyle w:val="ListParagraph"/>
        <w:numPr>
          <w:ilvl w:val="2"/>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If no settlement agreement, government must issue written report detailing uses available to the property known as statement of allowable uses</w:t>
      </w:r>
    </w:p>
    <w:p w14:paraId="5D665D14" w14:textId="5966AA81" w:rsidR="008F0F78" w:rsidRDefault="008F0F78" w:rsidP="008F0F78">
      <w:pPr>
        <w:pStyle w:val="ListParagraph"/>
        <w:numPr>
          <w:ilvl w:val="1"/>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lastRenderedPageBreak/>
        <w:t>Statute of limitations: 4 years from denial of the permit</w:t>
      </w:r>
    </w:p>
    <w:p w14:paraId="52A7FE6A" w14:textId="118A08B7" w:rsidR="008F0F78" w:rsidRDefault="008F0F78" w:rsidP="008F0F78">
      <w:pPr>
        <w:pStyle w:val="ListParagraph"/>
        <w:numPr>
          <w:ilvl w:val="1"/>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Applicable standard for circuit court: whether existing use or vested right existed on the property</w:t>
      </w:r>
      <w:r w:rsidR="00FB1121">
        <w:rPr>
          <w:rFonts w:ascii="Verdana" w:eastAsia="Times New Roman" w:hAnsi="Verdana" w:cs="Times New Roman"/>
          <w:sz w:val="20"/>
          <w:szCs w:val="20"/>
        </w:rPr>
        <w:t>, whether was inordinately burdened, and percentage of responsibility if more than one agency</w:t>
      </w:r>
    </w:p>
    <w:p w14:paraId="7183505F" w14:textId="1DF63D3D" w:rsidR="008F0F78" w:rsidRDefault="00FB1121" w:rsidP="008F0F78">
      <w:pPr>
        <w:pStyle w:val="ListParagraph"/>
        <w:numPr>
          <w:ilvl w:val="1"/>
          <w:numId w:val="22"/>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 xml:space="preserve">Jury impaneled to determine amount of compensation, including reasonable costs and </w:t>
      </w:r>
      <w:proofErr w:type="gramStart"/>
      <w:r>
        <w:rPr>
          <w:rFonts w:ascii="Verdana" w:eastAsia="Times New Roman" w:hAnsi="Verdana" w:cs="Times New Roman"/>
          <w:sz w:val="20"/>
          <w:szCs w:val="20"/>
        </w:rPr>
        <w:t>attorneys</w:t>
      </w:r>
      <w:proofErr w:type="gramEnd"/>
      <w:r>
        <w:rPr>
          <w:rFonts w:ascii="Verdana" w:eastAsia="Times New Roman" w:hAnsi="Verdana" w:cs="Times New Roman"/>
          <w:sz w:val="20"/>
          <w:szCs w:val="20"/>
        </w:rPr>
        <w:t xml:space="preserve"> fees, and prejudgment interest</w:t>
      </w:r>
    </w:p>
    <w:p w14:paraId="0A980B94" w14:textId="3F470E27" w:rsidR="00FB1121" w:rsidRDefault="00FB1121" w:rsidP="00FB1121">
      <w:pPr>
        <w:spacing w:after="0" w:line="240" w:lineRule="auto"/>
        <w:rPr>
          <w:rFonts w:ascii="Verdana" w:eastAsia="Times New Roman" w:hAnsi="Verdana" w:cs="Times New Roman"/>
          <w:sz w:val="20"/>
          <w:szCs w:val="20"/>
        </w:rPr>
      </w:pPr>
    </w:p>
    <w:p w14:paraId="23F6C097" w14:textId="2AFE6BBA" w:rsidR="00FB1121" w:rsidRDefault="00FB1121" w:rsidP="00FB1121">
      <w:p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u w:val="single"/>
        </w:rPr>
        <w:t>Exactions (70.45)</w:t>
      </w:r>
    </w:p>
    <w:p w14:paraId="7D778CA4" w14:textId="2F982F7F" w:rsidR="00FB1121" w:rsidRPr="00FB1121" w:rsidRDefault="00FB1121" w:rsidP="00FB1121">
      <w:pPr>
        <w:pStyle w:val="ListParagraph"/>
        <w:numPr>
          <w:ilvl w:val="0"/>
          <w:numId w:val="23"/>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 xml:space="preserve">Prohibits exactions </w:t>
      </w:r>
      <w:proofErr w:type="spellStart"/>
      <w:r>
        <w:rPr>
          <w:rFonts w:ascii="Verdana" w:eastAsia="Times New Roman" w:hAnsi="Verdana" w:cs="Times New Roman"/>
          <w:sz w:val="20"/>
          <w:szCs w:val="20"/>
        </w:rPr>
        <w:t>impoed</w:t>
      </w:r>
      <w:proofErr w:type="spellEnd"/>
      <w:r>
        <w:rPr>
          <w:rFonts w:ascii="Verdana" w:eastAsia="Times New Roman" w:hAnsi="Verdana" w:cs="Times New Roman"/>
          <w:sz w:val="20"/>
          <w:szCs w:val="20"/>
        </w:rPr>
        <w:t xml:space="preserve"> on property owner real property that lacks an essential nexus to a legitimate public purpose and is not roughly </w:t>
      </w:r>
      <w:proofErr w:type="spellStart"/>
      <w:r>
        <w:rPr>
          <w:rFonts w:ascii="Verdana" w:eastAsia="Times New Roman" w:hAnsi="Verdana" w:cs="Times New Roman"/>
          <w:sz w:val="20"/>
          <w:szCs w:val="20"/>
        </w:rPr>
        <w:t>proportionatel</w:t>
      </w:r>
      <w:proofErr w:type="spellEnd"/>
    </w:p>
    <w:p w14:paraId="7C62D8CD" w14:textId="0090E5AC" w:rsidR="00FB1121" w:rsidRPr="00FB1121" w:rsidRDefault="00FB1121" w:rsidP="00FB1121">
      <w:pPr>
        <w:pStyle w:val="ListParagraph"/>
        <w:numPr>
          <w:ilvl w:val="0"/>
          <w:numId w:val="23"/>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Allows for damages</w:t>
      </w:r>
    </w:p>
    <w:p w14:paraId="5F73474B" w14:textId="40A46C37" w:rsidR="00FB1121" w:rsidRPr="00FB1121" w:rsidRDefault="00FB1121" w:rsidP="00FB1121">
      <w:pPr>
        <w:pStyle w:val="ListParagraph"/>
        <w:numPr>
          <w:ilvl w:val="0"/>
          <w:numId w:val="23"/>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 xml:space="preserve">Does not applies to impact fees adopted under 163.31801, or </w:t>
      </w:r>
      <w:proofErr w:type="spellStart"/>
      <w:r>
        <w:rPr>
          <w:rFonts w:ascii="Verdana" w:eastAsia="Times New Roman" w:hAnsi="Verdana" w:cs="Times New Roman"/>
          <w:sz w:val="20"/>
          <w:szCs w:val="20"/>
        </w:rPr>
        <w:t>non ad</w:t>
      </w:r>
      <w:proofErr w:type="spellEnd"/>
      <w:r>
        <w:rPr>
          <w:rFonts w:ascii="Verdana" w:eastAsia="Times New Roman" w:hAnsi="Verdana" w:cs="Times New Roman"/>
          <w:sz w:val="20"/>
          <w:szCs w:val="20"/>
        </w:rPr>
        <w:t xml:space="preserve"> valorem exactions</w:t>
      </w:r>
    </w:p>
    <w:p w14:paraId="7ED84C06" w14:textId="4CB88E1D" w:rsidR="00FB1121" w:rsidRPr="00F920C1" w:rsidRDefault="00FB1121" w:rsidP="00FB1121">
      <w:pPr>
        <w:pStyle w:val="ListParagraph"/>
        <w:numPr>
          <w:ilvl w:val="0"/>
          <w:numId w:val="23"/>
        </w:numPr>
        <w:spacing w:after="0" w:line="240" w:lineRule="auto"/>
        <w:rPr>
          <w:rFonts w:ascii="Verdana" w:eastAsia="Times New Roman" w:hAnsi="Verdana" w:cs="Times New Roman"/>
          <w:sz w:val="20"/>
          <w:szCs w:val="20"/>
          <w:u w:val="single"/>
        </w:rPr>
      </w:pPr>
      <w:r>
        <w:rPr>
          <w:rFonts w:ascii="Verdana" w:eastAsia="Times New Roman" w:hAnsi="Verdana" w:cs="Times New Roman"/>
          <w:sz w:val="20"/>
          <w:szCs w:val="20"/>
        </w:rPr>
        <w:t>Government entity has burden of proving exactions has required nexus</w:t>
      </w:r>
    </w:p>
    <w:p w14:paraId="5F30CCDE" w14:textId="106DF318" w:rsidR="00F920C1" w:rsidRDefault="00F920C1" w:rsidP="00F920C1">
      <w:pPr>
        <w:spacing w:after="0" w:line="240" w:lineRule="auto"/>
        <w:rPr>
          <w:rFonts w:ascii="Verdana" w:eastAsia="Times New Roman" w:hAnsi="Verdana" w:cs="Times New Roman"/>
          <w:sz w:val="20"/>
          <w:szCs w:val="20"/>
          <w:u w:val="single"/>
        </w:rPr>
      </w:pPr>
    </w:p>
    <w:p w14:paraId="43C3E5A3" w14:textId="77777777" w:rsidR="00F920C1" w:rsidRDefault="00F920C1" w:rsidP="00F920C1">
      <w:pPr>
        <w:rPr>
          <w:rStyle w:val="sectionbody"/>
          <w:rFonts w:ascii="Verdana" w:hAnsi="Verdana"/>
          <w:sz w:val="20"/>
          <w:szCs w:val="20"/>
        </w:rPr>
      </w:pPr>
      <w:r>
        <w:rPr>
          <w:rStyle w:val="sectionnumber"/>
          <w:rFonts w:ascii="Verdana" w:hAnsi="Verdana"/>
          <w:sz w:val="20"/>
          <w:szCs w:val="20"/>
        </w:rPr>
        <w:t>70.45</w:t>
      </w:r>
      <w:r>
        <w:rPr>
          <w:rStyle w:val="sectionnumber"/>
          <w:rFonts w:ascii="Verdana" w:hAnsi="Verdana"/>
          <w:sz w:val="20"/>
          <w:szCs w:val="20"/>
        </w:rPr>
        <w:t> </w:t>
      </w:r>
      <w:r>
        <w:rPr>
          <w:rStyle w:val="catchlinetext"/>
          <w:rFonts w:ascii="Verdana" w:hAnsi="Verdana"/>
          <w:sz w:val="20"/>
          <w:szCs w:val="20"/>
        </w:rPr>
        <w:t xml:space="preserve">Governmental </w:t>
      </w:r>
      <w:proofErr w:type="gramStart"/>
      <w:r>
        <w:rPr>
          <w:rStyle w:val="catchlinetext"/>
          <w:rFonts w:ascii="Verdana" w:hAnsi="Verdana"/>
          <w:sz w:val="20"/>
          <w:szCs w:val="20"/>
        </w:rPr>
        <w:t>exactions.</w:t>
      </w:r>
      <w:r>
        <w:rPr>
          <w:rStyle w:val="emdash"/>
          <w:rFonts w:ascii="Verdana" w:hAnsi="Verdana"/>
          <w:sz w:val="20"/>
          <w:szCs w:val="20"/>
        </w:rPr>
        <w:t>—</w:t>
      </w:r>
      <w:proofErr w:type="gramEnd"/>
    </w:p>
    <w:p w14:paraId="4D4D7821" w14:textId="77777777" w:rsidR="00F920C1" w:rsidRDefault="00F920C1" w:rsidP="00F920C1">
      <w:r>
        <w:rPr>
          <w:rStyle w:val="number"/>
          <w:rFonts w:ascii="Verdana" w:hAnsi="Verdana"/>
          <w:sz w:val="20"/>
          <w:szCs w:val="20"/>
        </w:rPr>
        <w:t>(1)</w:t>
      </w:r>
      <w:r>
        <w:rPr>
          <w:rStyle w:val="number"/>
          <w:rFonts w:ascii="Verdana" w:hAnsi="Verdana"/>
          <w:sz w:val="20"/>
          <w:szCs w:val="20"/>
        </w:rPr>
        <w:t> </w:t>
      </w:r>
      <w:r>
        <w:rPr>
          <w:rStyle w:val="text"/>
          <w:rFonts w:ascii="Verdana" w:hAnsi="Verdana"/>
          <w:sz w:val="20"/>
          <w:szCs w:val="20"/>
        </w:rPr>
        <w:t>As used in this section, the term:</w:t>
      </w:r>
    </w:p>
    <w:p w14:paraId="300662A1" w14:textId="77777777" w:rsidR="00F920C1" w:rsidRDefault="00F920C1" w:rsidP="00F920C1">
      <w:pPr>
        <w:rPr>
          <w:rFonts w:ascii="Verdana" w:hAnsi="Verdana"/>
          <w:sz w:val="20"/>
          <w:szCs w:val="20"/>
        </w:rPr>
      </w:pPr>
      <w:r>
        <w:rPr>
          <w:rStyle w:val="number"/>
          <w:rFonts w:ascii="Verdana" w:hAnsi="Verdana"/>
          <w:sz w:val="20"/>
          <w:szCs w:val="20"/>
        </w:rPr>
        <w:t>(a)</w:t>
      </w:r>
      <w:r>
        <w:rPr>
          <w:rStyle w:val="number"/>
          <w:rFonts w:ascii="Verdana" w:hAnsi="Verdana"/>
          <w:sz w:val="20"/>
          <w:szCs w:val="20"/>
        </w:rPr>
        <w:t> </w:t>
      </w:r>
      <w:r>
        <w:rPr>
          <w:rStyle w:val="text"/>
          <w:rFonts w:ascii="Verdana" w:hAnsi="Verdana"/>
          <w:sz w:val="20"/>
          <w:szCs w:val="20"/>
        </w:rPr>
        <w:t>“Damages” means, in addition to the right to injunctive relief, the reduction in fair market value of the real property or the amount of the fee or infrastructure cost that exceeds what would be permitted under this section.</w:t>
      </w:r>
    </w:p>
    <w:p w14:paraId="00028FC3" w14:textId="77777777" w:rsidR="00F920C1" w:rsidRDefault="00F920C1" w:rsidP="00F920C1">
      <w:pPr>
        <w:rPr>
          <w:rFonts w:ascii="Verdana" w:hAnsi="Verdana"/>
          <w:sz w:val="20"/>
          <w:szCs w:val="20"/>
        </w:rPr>
      </w:pPr>
      <w:r>
        <w:rPr>
          <w:rStyle w:val="number"/>
          <w:rFonts w:ascii="Verdana" w:hAnsi="Verdana"/>
          <w:sz w:val="20"/>
          <w:szCs w:val="20"/>
        </w:rPr>
        <w:t>(b)</w:t>
      </w:r>
      <w:r>
        <w:rPr>
          <w:rStyle w:val="number"/>
          <w:rFonts w:ascii="Verdana" w:hAnsi="Verdana"/>
          <w:sz w:val="20"/>
          <w:szCs w:val="20"/>
        </w:rPr>
        <w:t> </w:t>
      </w:r>
      <w:r>
        <w:rPr>
          <w:rStyle w:val="text"/>
          <w:rFonts w:ascii="Verdana" w:hAnsi="Verdana"/>
          <w:sz w:val="20"/>
          <w:szCs w:val="20"/>
        </w:rPr>
        <w:t xml:space="preserve">“Governmental entity” has the same meaning as provided in s. </w:t>
      </w:r>
      <w:hyperlink r:id="rId10" w:history="1">
        <w:r>
          <w:rPr>
            <w:rStyle w:val="Hyperlink"/>
            <w:rFonts w:ascii="Verdana" w:hAnsi="Verdana"/>
            <w:sz w:val="20"/>
            <w:szCs w:val="20"/>
          </w:rPr>
          <w:t>70.001</w:t>
        </w:r>
      </w:hyperlink>
      <w:r>
        <w:rPr>
          <w:rStyle w:val="text"/>
          <w:rFonts w:ascii="Verdana" w:hAnsi="Verdana"/>
          <w:sz w:val="20"/>
          <w:szCs w:val="20"/>
        </w:rPr>
        <w:t>(3)(c).</w:t>
      </w:r>
    </w:p>
    <w:p w14:paraId="7D51D413" w14:textId="77777777" w:rsidR="00F920C1" w:rsidRDefault="00F920C1" w:rsidP="00F920C1">
      <w:pPr>
        <w:rPr>
          <w:rFonts w:ascii="Verdana" w:hAnsi="Verdana"/>
          <w:sz w:val="20"/>
          <w:szCs w:val="20"/>
        </w:rPr>
      </w:pPr>
      <w:r>
        <w:rPr>
          <w:rStyle w:val="number"/>
          <w:rFonts w:ascii="Verdana" w:hAnsi="Verdana"/>
          <w:sz w:val="20"/>
          <w:szCs w:val="20"/>
        </w:rPr>
        <w:t>(c)</w:t>
      </w:r>
      <w:r>
        <w:rPr>
          <w:rStyle w:val="number"/>
          <w:rFonts w:ascii="Verdana" w:hAnsi="Verdana"/>
          <w:sz w:val="20"/>
          <w:szCs w:val="20"/>
        </w:rPr>
        <w:t> </w:t>
      </w:r>
      <w:r>
        <w:rPr>
          <w:rStyle w:val="text"/>
          <w:rFonts w:ascii="Verdana" w:hAnsi="Verdana"/>
          <w:sz w:val="20"/>
          <w:szCs w:val="20"/>
        </w:rPr>
        <w:t>“Prohibited exaction” means any condition imposed by a governmental entity on a property owner’s proposed use of real property that lacks an essential nexus to a legitimate public purpose and is not roughly proportionate to the impacts of the proposed use that the governmental entity seeks to avoid, minimize, or mitigate.</w:t>
      </w:r>
    </w:p>
    <w:p w14:paraId="4741CB7F" w14:textId="77777777" w:rsidR="00F920C1" w:rsidRDefault="00F920C1" w:rsidP="00F920C1">
      <w:pPr>
        <w:rPr>
          <w:rFonts w:ascii="Verdana" w:hAnsi="Verdana"/>
          <w:sz w:val="20"/>
          <w:szCs w:val="20"/>
        </w:rPr>
      </w:pPr>
      <w:r>
        <w:rPr>
          <w:rStyle w:val="number"/>
          <w:rFonts w:ascii="Verdana" w:hAnsi="Verdana"/>
          <w:sz w:val="20"/>
          <w:szCs w:val="20"/>
        </w:rPr>
        <w:t>(d)</w:t>
      </w:r>
      <w:r>
        <w:rPr>
          <w:rStyle w:val="number"/>
          <w:rFonts w:ascii="Verdana" w:hAnsi="Verdana"/>
          <w:sz w:val="20"/>
          <w:szCs w:val="20"/>
        </w:rPr>
        <w:t> </w:t>
      </w:r>
      <w:r>
        <w:rPr>
          <w:rStyle w:val="text"/>
          <w:rFonts w:ascii="Verdana" w:hAnsi="Verdana"/>
          <w:sz w:val="20"/>
          <w:szCs w:val="20"/>
        </w:rPr>
        <w:t xml:space="preserve">“Property owner” has the same meaning as provided in s. </w:t>
      </w:r>
      <w:hyperlink r:id="rId11" w:history="1">
        <w:r>
          <w:rPr>
            <w:rStyle w:val="Hyperlink"/>
            <w:rFonts w:ascii="Verdana" w:hAnsi="Verdana"/>
            <w:sz w:val="20"/>
            <w:szCs w:val="20"/>
          </w:rPr>
          <w:t>70.001</w:t>
        </w:r>
      </w:hyperlink>
      <w:r>
        <w:rPr>
          <w:rStyle w:val="text"/>
          <w:rFonts w:ascii="Verdana" w:hAnsi="Verdana"/>
          <w:sz w:val="20"/>
          <w:szCs w:val="20"/>
        </w:rPr>
        <w:t>(3)(f).</w:t>
      </w:r>
    </w:p>
    <w:p w14:paraId="4228B2CF" w14:textId="77777777" w:rsidR="00F920C1" w:rsidRDefault="00F920C1" w:rsidP="00F920C1">
      <w:pPr>
        <w:rPr>
          <w:rFonts w:ascii="Verdana" w:hAnsi="Verdana"/>
          <w:sz w:val="20"/>
          <w:szCs w:val="20"/>
        </w:rPr>
      </w:pPr>
      <w:r>
        <w:rPr>
          <w:rStyle w:val="number"/>
          <w:rFonts w:ascii="Verdana" w:hAnsi="Verdana"/>
          <w:sz w:val="20"/>
          <w:szCs w:val="20"/>
        </w:rPr>
        <w:t>(e)</w:t>
      </w:r>
      <w:r>
        <w:rPr>
          <w:rStyle w:val="number"/>
          <w:rFonts w:ascii="Verdana" w:hAnsi="Verdana"/>
          <w:sz w:val="20"/>
          <w:szCs w:val="20"/>
        </w:rPr>
        <w:t> </w:t>
      </w:r>
      <w:r>
        <w:rPr>
          <w:rStyle w:val="text"/>
          <w:rFonts w:ascii="Verdana" w:hAnsi="Verdana"/>
          <w:sz w:val="20"/>
          <w:szCs w:val="20"/>
        </w:rPr>
        <w:t xml:space="preserve">“Real property” has the same meaning as provided in s. </w:t>
      </w:r>
      <w:hyperlink r:id="rId12" w:history="1">
        <w:r>
          <w:rPr>
            <w:rStyle w:val="Hyperlink"/>
            <w:rFonts w:ascii="Verdana" w:hAnsi="Verdana"/>
            <w:sz w:val="20"/>
            <w:szCs w:val="20"/>
          </w:rPr>
          <w:t>70.001</w:t>
        </w:r>
      </w:hyperlink>
      <w:r>
        <w:rPr>
          <w:rStyle w:val="text"/>
          <w:rFonts w:ascii="Verdana" w:hAnsi="Verdana"/>
          <w:sz w:val="20"/>
          <w:szCs w:val="20"/>
        </w:rPr>
        <w:t>(3)(g).</w:t>
      </w:r>
    </w:p>
    <w:p w14:paraId="2E6089B7" w14:textId="77777777" w:rsidR="00F920C1" w:rsidRDefault="00F920C1" w:rsidP="00F920C1">
      <w:pPr>
        <w:rPr>
          <w:rFonts w:ascii="Verdana" w:hAnsi="Verdana"/>
          <w:sz w:val="20"/>
          <w:szCs w:val="20"/>
        </w:rPr>
      </w:pPr>
      <w:r>
        <w:rPr>
          <w:rStyle w:val="number"/>
          <w:rFonts w:ascii="Verdana" w:hAnsi="Verdana"/>
          <w:sz w:val="20"/>
          <w:szCs w:val="20"/>
        </w:rPr>
        <w:t>(2)</w:t>
      </w:r>
      <w:r>
        <w:rPr>
          <w:rStyle w:val="number"/>
          <w:rFonts w:ascii="Verdana" w:hAnsi="Verdana"/>
          <w:sz w:val="20"/>
          <w:szCs w:val="20"/>
        </w:rPr>
        <w:t> </w:t>
      </w:r>
      <w:r>
        <w:rPr>
          <w:rStyle w:val="text"/>
          <w:rFonts w:ascii="Verdana" w:hAnsi="Verdana"/>
          <w:sz w:val="20"/>
          <w:szCs w:val="20"/>
        </w:rPr>
        <w:t xml:space="preserve">In addition to other remedies available in law or equity, a property owner may bring an action in a court of competent jurisdiction under this section to recover damages caused by a prohibited exaction. Such action may not be brought until a prohibited exaction is </w:t>
      </w:r>
      <w:proofErr w:type="gramStart"/>
      <w:r>
        <w:rPr>
          <w:rStyle w:val="text"/>
          <w:rFonts w:ascii="Verdana" w:hAnsi="Verdana"/>
          <w:sz w:val="20"/>
          <w:szCs w:val="20"/>
        </w:rPr>
        <w:t>actually imposed</w:t>
      </w:r>
      <w:proofErr w:type="gramEnd"/>
      <w:r>
        <w:rPr>
          <w:rStyle w:val="text"/>
          <w:rFonts w:ascii="Verdana" w:hAnsi="Verdana"/>
          <w:sz w:val="20"/>
          <w:szCs w:val="20"/>
        </w:rPr>
        <w:t xml:space="preserve"> or required in writing as a final condition of approval for the requested use of real property. The right to bring an action under this section may not be waived. This section does not apply to impact fees adopted under s. </w:t>
      </w:r>
      <w:hyperlink r:id="rId13" w:history="1">
        <w:r>
          <w:rPr>
            <w:rStyle w:val="Hyperlink"/>
            <w:rFonts w:ascii="Verdana" w:hAnsi="Verdana"/>
            <w:sz w:val="20"/>
            <w:szCs w:val="20"/>
          </w:rPr>
          <w:t>163.31801</w:t>
        </w:r>
      </w:hyperlink>
      <w:r>
        <w:rPr>
          <w:rStyle w:val="text"/>
          <w:rFonts w:ascii="Verdana" w:hAnsi="Verdana"/>
          <w:sz w:val="20"/>
          <w:szCs w:val="20"/>
        </w:rPr>
        <w:t xml:space="preserve"> or non-ad valorem assessments as defined in s. </w:t>
      </w:r>
      <w:hyperlink r:id="rId14" w:history="1">
        <w:r>
          <w:rPr>
            <w:rStyle w:val="Hyperlink"/>
            <w:rFonts w:ascii="Verdana" w:hAnsi="Verdana"/>
            <w:sz w:val="20"/>
            <w:szCs w:val="20"/>
          </w:rPr>
          <w:t>197.3632</w:t>
        </w:r>
      </w:hyperlink>
      <w:r>
        <w:rPr>
          <w:rStyle w:val="text"/>
          <w:rFonts w:ascii="Verdana" w:hAnsi="Verdana"/>
          <w:sz w:val="20"/>
          <w:szCs w:val="20"/>
        </w:rPr>
        <w:t>.</w:t>
      </w:r>
    </w:p>
    <w:p w14:paraId="488FF524" w14:textId="77777777" w:rsidR="00F920C1" w:rsidRDefault="00F920C1" w:rsidP="00F920C1">
      <w:pPr>
        <w:rPr>
          <w:rFonts w:ascii="Verdana" w:hAnsi="Verdana"/>
          <w:sz w:val="20"/>
          <w:szCs w:val="20"/>
        </w:rPr>
      </w:pPr>
      <w:r>
        <w:rPr>
          <w:rStyle w:val="number"/>
          <w:rFonts w:ascii="Verdana" w:hAnsi="Verdana"/>
          <w:sz w:val="20"/>
          <w:szCs w:val="20"/>
        </w:rPr>
        <w:t>(3)</w:t>
      </w:r>
      <w:r>
        <w:rPr>
          <w:rStyle w:val="number"/>
          <w:rFonts w:ascii="Verdana" w:hAnsi="Verdana"/>
          <w:sz w:val="20"/>
          <w:szCs w:val="20"/>
        </w:rPr>
        <w:t> </w:t>
      </w:r>
      <w:r>
        <w:rPr>
          <w:rStyle w:val="text"/>
          <w:rFonts w:ascii="Verdana" w:hAnsi="Verdana"/>
          <w:sz w:val="20"/>
          <w:szCs w:val="20"/>
        </w:rPr>
        <w:t xml:space="preserve">At least 90 days before filing an action under this section, but no later than 180 days after imposition of the prohibited exaction, the property owner shall provide to the relevant governmental entity written notice of the proposed action. This written notice shall identify the exaction that the property owner believes is prohibited, briefly explain why the property owner believes the exaction is </w:t>
      </w:r>
      <w:proofErr w:type="gramStart"/>
      <w:r>
        <w:rPr>
          <w:rStyle w:val="text"/>
          <w:rFonts w:ascii="Verdana" w:hAnsi="Verdana"/>
          <w:sz w:val="20"/>
          <w:szCs w:val="20"/>
        </w:rPr>
        <w:t>prohibited, and</w:t>
      </w:r>
      <w:proofErr w:type="gramEnd"/>
      <w:r>
        <w:rPr>
          <w:rStyle w:val="text"/>
          <w:rFonts w:ascii="Verdana" w:hAnsi="Verdana"/>
          <w:sz w:val="20"/>
          <w:szCs w:val="20"/>
        </w:rPr>
        <w:t xml:space="preserve"> provide an estimate of the damages. Upon receipt of the written notice:</w:t>
      </w:r>
    </w:p>
    <w:p w14:paraId="55BC40BE" w14:textId="77777777" w:rsidR="00F920C1" w:rsidRDefault="00F920C1" w:rsidP="00F920C1">
      <w:pPr>
        <w:rPr>
          <w:rFonts w:ascii="Verdana" w:hAnsi="Verdana"/>
          <w:sz w:val="20"/>
          <w:szCs w:val="20"/>
        </w:rPr>
      </w:pPr>
      <w:r>
        <w:rPr>
          <w:rStyle w:val="number"/>
          <w:rFonts w:ascii="Verdana" w:hAnsi="Verdana"/>
          <w:sz w:val="20"/>
          <w:szCs w:val="20"/>
        </w:rPr>
        <w:t>(a)</w:t>
      </w:r>
      <w:r>
        <w:rPr>
          <w:rStyle w:val="number"/>
          <w:rFonts w:ascii="Verdana" w:hAnsi="Verdana"/>
          <w:sz w:val="20"/>
          <w:szCs w:val="20"/>
        </w:rPr>
        <w:t> </w:t>
      </w:r>
      <w:r>
        <w:rPr>
          <w:rStyle w:val="text"/>
          <w:rFonts w:ascii="Verdana" w:hAnsi="Verdana"/>
          <w:sz w:val="20"/>
          <w:szCs w:val="20"/>
        </w:rPr>
        <w:t>The governmental entity shall review the notice of claim and respond in writing to the property owner by identifying the basis for the exaction and explaining why the governmental entity maintains that the exaction is proportionate to the harm created by the proposed use of real property, or by proposing to remove all or a portion of the exaction.</w:t>
      </w:r>
    </w:p>
    <w:p w14:paraId="320C8A9F" w14:textId="77777777" w:rsidR="00F920C1" w:rsidRDefault="00F920C1" w:rsidP="00F920C1">
      <w:pPr>
        <w:rPr>
          <w:rFonts w:ascii="Verdana" w:hAnsi="Verdana"/>
          <w:sz w:val="20"/>
          <w:szCs w:val="20"/>
        </w:rPr>
      </w:pPr>
      <w:r>
        <w:rPr>
          <w:rStyle w:val="number"/>
          <w:rFonts w:ascii="Verdana" w:hAnsi="Verdana"/>
          <w:sz w:val="20"/>
          <w:szCs w:val="20"/>
        </w:rPr>
        <w:lastRenderedPageBreak/>
        <w:t>(b)</w:t>
      </w:r>
      <w:r>
        <w:rPr>
          <w:rStyle w:val="number"/>
          <w:rFonts w:ascii="Verdana" w:hAnsi="Verdana"/>
          <w:sz w:val="20"/>
          <w:szCs w:val="20"/>
        </w:rPr>
        <w:t> </w:t>
      </w:r>
      <w:r>
        <w:rPr>
          <w:rStyle w:val="text"/>
          <w:rFonts w:ascii="Verdana" w:hAnsi="Verdana"/>
          <w:sz w:val="20"/>
          <w:szCs w:val="20"/>
        </w:rPr>
        <w:t>The written response may not be used against the governmental entity in subsequent litigation other than for purposes of assessing attorney fees and costs under subsection (5).</w:t>
      </w:r>
    </w:p>
    <w:p w14:paraId="262EC82F" w14:textId="77777777" w:rsidR="00F920C1" w:rsidRDefault="00F920C1" w:rsidP="00F920C1">
      <w:pPr>
        <w:rPr>
          <w:rFonts w:ascii="Verdana" w:hAnsi="Verdana"/>
          <w:sz w:val="20"/>
          <w:szCs w:val="20"/>
        </w:rPr>
      </w:pPr>
      <w:r>
        <w:rPr>
          <w:rStyle w:val="number"/>
          <w:rFonts w:ascii="Verdana" w:hAnsi="Verdana"/>
          <w:sz w:val="20"/>
          <w:szCs w:val="20"/>
        </w:rPr>
        <w:t>(4)</w:t>
      </w:r>
      <w:r>
        <w:rPr>
          <w:rStyle w:val="number"/>
          <w:rFonts w:ascii="Verdana" w:hAnsi="Verdana"/>
          <w:sz w:val="20"/>
          <w:szCs w:val="20"/>
        </w:rPr>
        <w:t> </w:t>
      </w:r>
      <w:r>
        <w:rPr>
          <w:rStyle w:val="text"/>
          <w:rFonts w:ascii="Verdana" w:hAnsi="Verdana"/>
          <w:sz w:val="20"/>
          <w:szCs w:val="20"/>
        </w:rPr>
        <w:t>For each claim filed under this section, the governmental entity has the burden of proving that the exaction has an essential nexus to a legitimate public purpose and is roughly proportionate to the impacts of the proposed use that the governmental entity is seeking to avoid, minimize, or mitigate. The property owner has the burden of proving damages that result from a prohibited exaction.</w:t>
      </w:r>
    </w:p>
    <w:p w14:paraId="6BC2856B" w14:textId="77777777" w:rsidR="00F920C1" w:rsidRDefault="00F920C1" w:rsidP="00F920C1">
      <w:pPr>
        <w:rPr>
          <w:rFonts w:ascii="Verdana" w:hAnsi="Verdana"/>
          <w:sz w:val="20"/>
          <w:szCs w:val="20"/>
        </w:rPr>
      </w:pPr>
      <w:r>
        <w:rPr>
          <w:rStyle w:val="number"/>
          <w:rFonts w:ascii="Verdana" w:hAnsi="Verdana"/>
          <w:sz w:val="20"/>
          <w:szCs w:val="20"/>
        </w:rPr>
        <w:t>(5)</w:t>
      </w:r>
      <w:r>
        <w:rPr>
          <w:rStyle w:val="number"/>
          <w:rFonts w:ascii="Verdana" w:hAnsi="Verdana"/>
          <w:sz w:val="20"/>
          <w:szCs w:val="20"/>
        </w:rPr>
        <w:t> </w:t>
      </w:r>
      <w:r>
        <w:rPr>
          <w:rStyle w:val="text"/>
          <w:rFonts w:ascii="Verdana" w:hAnsi="Verdana"/>
          <w:sz w:val="20"/>
          <w:szCs w:val="20"/>
        </w:rPr>
        <w:t>The court may award attorney fees and costs to the prevailing party; however, if the court determines that the exaction which is the subject of the claim lacks an essential nexus to a legitimate public purpose, the court shall award attorney fees and costs to the property owner.</w:t>
      </w:r>
    </w:p>
    <w:p w14:paraId="20854B9D" w14:textId="77777777" w:rsidR="00F920C1" w:rsidRDefault="00F920C1" w:rsidP="00F920C1">
      <w:pPr>
        <w:rPr>
          <w:rFonts w:ascii="Verdana" w:hAnsi="Verdana"/>
          <w:sz w:val="20"/>
          <w:szCs w:val="20"/>
        </w:rPr>
      </w:pPr>
      <w:r>
        <w:rPr>
          <w:rStyle w:val="number"/>
          <w:rFonts w:ascii="Verdana" w:hAnsi="Verdana"/>
          <w:sz w:val="20"/>
          <w:szCs w:val="20"/>
        </w:rPr>
        <w:t>(6)</w:t>
      </w:r>
      <w:r>
        <w:rPr>
          <w:rStyle w:val="number"/>
          <w:rFonts w:ascii="Verdana" w:hAnsi="Verdana"/>
          <w:sz w:val="20"/>
          <w:szCs w:val="20"/>
        </w:rPr>
        <w:t> </w:t>
      </w:r>
      <w:r>
        <w:rPr>
          <w:rStyle w:val="text"/>
          <w:rFonts w:ascii="Verdana" w:hAnsi="Verdana"/>
          <w:sz w:val="20"/>
          <w:szCs w:val="20"/>
        </w:rPr>
        <w:t>To ensure that courts may assess damages for claims filed under this section in accordance with s. 13, Art. X of the State Constitution, the state, for itself and its agencies or political subdivisions, waives sovereign immunity for causes of action based upon the application of this section. Such waiver is limited only to actions brought under this section.</w:t>
      </w:r>
    </w:p>
    <w:p w14:paraId="34B295AF" w14:textId="77777777" w:rsidR="00F920C1" w:rsidRDefault="00F920C1" w:rsidP="00F920C1">
      <w:pPr>
        <w:rPr>
          <w:rFonts w:ascii="Verdana" w:hAnsi="Verdana"/>
          <w:sz w:val="20"/>
          <w:szCs w:val="20"/>
        </w:rPr>
      </w:pPr>
      <w:r>
        <w:rPr>
          <w:rStyle w:val="number"/>
          <w:rFonts w:ascii="Verdana" w:hAnsi="Verdana"/>
          <w:sz w:val="20"/>
          <w:szCs w:val="20"/>
        </w:rPr>
        <w:t>(7)</w:t>
      </w:r>
      <w:r>
        <w:rPr>
          <w:rStyle w:val="number"/>
          <w:rFonts w:ascii="Verdana" w:hAnsi="Verdana"/>
          <w:sz w:val="20"/>
          <w:szCs w:val="20"/>
        </w:rPr>
        <w:t> </w:t>
      </w:r>
      <w:r>
        <w:rPr>
          <w:rStyle w:val="text"/>
          <w:rFonts w:ascii="Verdana" w:hAnsi="Verdana"/>
          <w:sz w:val="20"/>
          <w:szCs w:val="20"/>
        </w:rPr>
        <w:t>This section applies to any prohibited exaction imposed or required in writing on or after October 1, 2015, as a final condition of approval for the requested use of real property.</w:t>
      </w:r>
    </w:p>
    <w:p w14:paraId="422537A3" w14:textId="77777777" w:rsidR="00F920C1" w:rsidRDefault="00F920C1" w:rsidP="00F920C1">
      <w:pPr>
        <w:rPr>
          <w:rFonts w:ascii="Verdana" w:hAnsi="Verdana"/>
          <w:sz w:val="20"/>
          <w:szCs w:val="20"/>
        </w:rPr>
      </w:pPr>
      <w:proofErr w:type="gramStart"/>
      <w:r>
        <w:rPr>
          <w:rStyle w:val="historytitle"/>
          <w:rFonts w:ascii="Verdana" w:hAnsi="Verdana"/>
          <w:sz w:val="20"/>
          <w:szCs w:val="20"/>
        </w:rPr>
        <w:t>History.</w:t>
      </w:r>
      <w:r>
        <w:rPr>
          <w:rStyle w:val="emdash"/>
          <w:rFonts w:ascii="Verdana" w:hAnsi="Verdana"/>
          <w:sz w:val="20"/>
          <w:szCs w:val="20"/>
        </w:rPr>
        <w:t>—</w:t>
      </w:r>
      <w:proofErr w:type="gramEnd"/>
      <w:r>
        <w:rPr>
          <w:rStyle w:val="historytext"/>
          <w:rFonts w:ascii="Verdana" w:hAnsi="Verdana"/>
          <w:sz w:val="20"/>
          <w:szCs w:val="20"/>
        </w:rPr>
        <w:t xml:space="preserve">s. 2, </w:t>
      </w:r>
      <w:proofErr w:type="spellStart"/>
      <w:r>
        <w:rPr>
          <w:rStyle w:val="historytext"/>
          <w:rFonts w:ascii="Verdana" w:hAnsi="Verdana"/>
          <w:sz w:val="20"/>
          <w:szCs w:val="20"/>
        </w:rPr>
        <w:t>ch.</w:t>
      </w:r>
      <w:proofErr w:type="spellEnd"/>
      <w:r>
        <w:rPr>
          <w:rStyle w:val="historytext"/>
          <w:rFonts w:ascii="Verdana" w:hAnsi="Verdana"/>
          <w:sz w:val="20"/>
          <w:szCs w:val="20"/>
        </w:rPr>
        <w:t xml:space="preserve"> 2015-142.</w:t>
      </w:r>
    </w:p>
    <w:p w14:paraId="65139C09" w14:textId="77777777" w:rsidR="00F920C1" w:rsidRPr="00F920C1" w:rsidRDefault="00F920C1" w:rsidP="00F920C1">
      <w:pPr>
        <w:spacing w:after="0" w:line="240" w:lineRule="auto"/>
        <w:rPr>
          <w:rFonts w:ascii="Verdana" w:eastAsia="Times New Roman" w:hAnsi="Verdana" w:cs="Times New Roman"/>
          <w:sz w:val="20"/>
          <w:szCs w:val="20"/>
          <w:u w:val="single"/>
        </w:rPr>
      </w:pPr>
      <w:bookmarkStart w:id="0" w:name="_GoBack"/>
      <w:bookmarkEnd w:id="0"/>
    </w:p>
    <w:p w14:paraId="5A2F9112" w14:textId="285E60F5" w:rsidR="00FB1121" w:rsidRDefault="00FB1121" w:rsidP="00FB1121">
      <w:pPr>
        <w:spacing w:after="0" w:line="240" w:lineRule="auto"/>
        <w:rPr>
          <w:rFonts w:ascii="Verdana" w:eastAsia="Times New Roman" w:hAnsi="Verdana" w:cs="Times New Roman"/>
          <w:sz w:val="20"/>
          <w:szCs w:val="20"/>
          <w:u w:val="single"/>
        </w:rPr>
      </w:pPr>
    </w:p>
    <w:p w14:paraId="47BA4F5A" w14:textId="17F2D09D" w:rsidR="00FB1121" w:rsidRDefault="00FB1121" w:rsidP="00FB1121">
      <w:p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Florida Land Use and Environmental Dispute Resolution Act (70.51)</w:t>
      </w:r>
    </w:p>
    <w:p w14:paraId="5939E363" w14:textId="205226E5" w:rsidR="00FB1121" w:rsidRDefault="00FB1121" w:rsidP="00FB1121">
      <w:pPr>
        <w:pStyle w:val="ListParagraph"/>
        <w:numPr>
          <w:ilvl w:val="0"/>
          <w:numId w:val="24"/>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Mediation process for laws ordinances and development permits</w:t>
      </w:r>
    </w:p>
    <w:p w14:paraId="0AAADF8F" w14:textId="65FADF35" w:rsidR="00FB1121" w:rsidRDefault="00FB1121" w:rsidP="00FB1121">
      <w:pPr>
        <w:pStyle w:val="ListParagraph"/>
        <w:numPr>
          <w:ilvl w:val="0"/>
          <w:numId w:val="24"/>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Does not apply to comp plan amendments</w:t>
      </w:r>
    </w:p>
    <w:p w14:paraId="6451E6AB" w14:textId="73B78781" w:rsidR="00FB1121" w:rsidRDefault="00FB1121" w:rsidP="00FB1121">
      <w:pPr>
        <w:pStyle w:val="ListParagraph"/>
        <w:numPr>
          <w:ilvl w:val="0"/>
          <w:numId w:val="24"/>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Not condition precedent for judicial action</w:t>
      </w:r>
    </w:p>
    <w:p w14:paraId="62D6423E" w14:textId="192FC0DC" w:rsidR="00FB1121" w:rsidRDefault="00FB1121" w:rsidP="00FB1121">
      <w:pPr>
        <w:pStyle w:val="ListParagraph"/>
        <w:numPr>
          <w:ilvl w:val="0"/>
          <w:numId w:val="24"/>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Special magistrate oversees process</w:t>
      </w:r>
    </w:p>
    <w:p w14:paraId="5806681A" w14:textId="5517874D" w:rsidR="00FB1121" w:rsidRDefault="00FB1121" w:rsidP="00FB1121">
      <w:pPr>
        <w:pStyle w:val="ListParagraph"/>
        <w:numPr>
          <w:ilvl w:val="0"/>
          <w:numId w:val="24"/>
        </w:numPr>
        <w:spacing w:after="0" w:line="240" w:lineRule="auto"/>
        <w:rPr>
          <w:rFonts w:ascii="Verdana" w:eastAsia="Times New Roman" w:hAnsi="Verdana" w:cs="Times New Roman"/>
          <w:sz w:val="20"/>
          <w:szCs w:val="20"/>
        </w:rPr>
      </w:pPr>
      <w:r w:rsidRPr="00FB1121">
        <w:rPr>
          <w:rFonts w:ascii="Verdana" w:eastAsia="Times New Roman" w:hAnsi="Verdana" w:cs="Times New Roman"/>
          <w:sz w:val="20"/>
          <w:szCs w:val="20"/>
        </w:rPr>
        <w:t>Owner can initiate where believes development order is unreasonable or unfairly burdens use of property and may apply within 30 days of receipt of the order or notice</w:t>
      </w:r>
    </w:p>
    <w:p w14:paraId="02AE6E11" w14:textId="771E5EEC" w:rsidR="00FB1121" w:rsidRDefault="00FB1121" w:rsidP="00FB1121">
      <w:pPr>
        <w:pStyle w:val="ListParagraph"/>
        <w:numPr>
          <w:ilvl w:val="0"/>
          <w:numId w:val="24"/>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Must exhaust all other non-judicial remedies prior to request if those take no longer than 4 months</w:t>
      </w:r>
    </w:p>
    <w:p w14:paraId="632C6AD5" w14:textId="7E93452A" w:rsidR="00FB1121" w:rsidRDefault="00FB1121" w:rsidP="00FB1121">
      <w:pPr>
        <w:pStyle w:val="ListParagraph"/>
        <w:numPr>
          <w:ilvl w:val="0"/>
          <w:numId w:val="24"/>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Time for bringing judicial action is tolled</w:t>
      </w:r>
    </w:p>
    <w:p w14:paraId="72D155F0" w14:textId="67556A4F" w:rsidR="00FB1121" w:rsidRPr="00FB1121" w:rsidRDefault="00FB1121" w:rsidP="00FB1121">
      <w:pPr>
        <w:pStyle w:val="ListParagraph"/>
        <w:numPr>
          <w:ilvl w:val="0"/>
          <w:numId w:val="24"/>
        </w:numPr>
        <w:spacing w:after="0" w:line="240" w:lineRule="auto"/>
        <w:rPr>
          <w:rFonts w:ascii="Verdana" w:eastAsia="Times New Roman" w:hAnsi="Verdana" w:cs="Times New Roman"/>
          <w:sz w:val="20"/>
          <w:szCs w:val="20"/>
        </w:rPr>
      </w:pPr>
      <w:r>
        <w:rPr>
          <w:rFonts w:ascii="Verdana" w:eastAsia="Times New Roman" w:hAnsi="Verdana" w:cs="Times New Roman"/>
          <w:sz w:val="20"/>
          <w:szCs w:val="20"/>
        </w:rPr>
        <w:t>Magistrate decision is final</w:t>
      </w:r>
    </w:p>
    <w:sectPr w:rsidR="00FB1121" w:rsidRPr="00FB1121">
      <w:head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887A65" w14:textId="77777777" w:rsidR="008729E2" w:rsidRDefault="008729E2" w:rsidP="006348FC">
      <w:pPr>
        <w:spacing w:after="0" w:line="240" w:lineRule="auto"/>
      </w:pPr>
      <w:r>
        <w:separator/>
      </w:r>
    </w:p>
  </w:endnote>
  <w:endnote w:type="continuationSeparator" w:id="0">
    <w:p w14:paraId="6CDD2367" w14:textId="77777777" w:rsidR="008729E2" w:rsidRDefault="008729E2" w:rsidP="006348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5EF5E2" w14:textId="77777777" w:rsidR="008729E2" w:rsidRDefault="008729E2" w:rsidP="006348FC">
      <w:pPr>
        <w:spacing w:after="0" w:line="240" w:lineRule="auto"/>
      </w:pPr>
      <w:r>
        <w:separator/>
      </w:r>
    </w:p>
  </w:footnote>
  <w:footnote w:type="continuationSeparator" w:id="0">
    <w:p w14:paraId="10684F28" w14:textId="77777777" w:rsidR="008729E2" w:rsidRDefault="008729E2" w:rsidP="006348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68461C" w14:textId="098DD13E" w:rsidR="006E454A" w:rsidRDefault="006E454A">
    <w:pPr>
      <w:pStyle w:val="Header"/>
    </w:pPr>
    <w:r>
      <w:t>Land Use Outline</w:t>
    </w:r>
  </w:p>
  <w:p w14:paraId="20A0F784" w14:textId="5CA521B9" w:rsidR="006E454A" w:rsidRDefault="006E454A">
    <w:pPr>
      <w:pStyle w:val="Header"/>
      <w:rPr>
        <w:b/>
        <w:bCs/>
      </w:rPr>
    </w:pPr>
    <w:r>
      <w:t xml:space="preserve">Page </w:t>
    </w:r>
    <w:r>
      <w:rPr>
        <w:b/>
        <w:bCs/>
      </w:rPr>
      <w:fldChar w:fldCharType="begin"/>
    </w:r>
    <w:r>
      <w:rPr>
        <w:b/>
        <w:bCs/>
      </w:rPr>
      <w:instrText xml:space="preserve"> PAGE  \* Arabic  \* MERGEFORMAT </w:instrText>
    </w:r>
    <w:r>
      <w:rPr>
        <w:b/>
        <w:bCs/>
      </w:rPr>
      <w:fldChar w:fldCharType="separate"/>
    </w:r>
    <w:r>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Pr>
        <w:b/>
        <w:bCs/>
        <w:noProof/>
      </w:rPr>
      <w:t>2</w:t>
    </w:r>
    <w:r>
      <w:rPr>
        <w:b/>
        <w:bCs/>
      </w:rPr>
      <w:fldChar w:fldCharType="end"/>
    </w:r>
  </w:p>
  <w:p w14:paraId="460BA51A" w14:textId="77777777" w:rsidR="006E454A" w:rsidRDefault="006E454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3A23D3"/>
    <w:multiLevelType w:val="hybridMultilevel"/>
    <w:tmpl w:val="C632E31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7D50D3"/>
    <w:multiLevelType w:val="hybridMultilevel"/>
    <w:tmpl w:val="F266CE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907F30"/>
    <w:multiLevelType w:val="hybridMultilevel"/>
    <w:tmpl w:val="73D637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527A2C"/>
    <w:multiLevelType w:val="hybridMultilevel"/>
    <w:tmpl w:val="740A1C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896FB6"/>
    <w:multiLevelType w:val="hybridMultilevel"/>
    <w:tmpl w:val="6EDED11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9F1EA0"/>
    <w:multiLevelType w:val="hybridMultilevel"/>
    <w:tmpl w:val="3898734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7B0284"/>
    <w:multiLevelType w:val="hybridMultilevel"/>
    <w:tmpl w:val="81783F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D438C5"/>
    <w:multiLevelType w:val="hybridMultilevel"/>
    <w:tmpl w:val="3566D90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B926D3"/>
    <w:multiLevelType w:val="hybridMultilevel"/>
    <w:tmpl w:val="BD8632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86A7B46"/>
    <w:multiLevelType w:val="hybridMultilevel"/>
    <w:tmpl w:val="1E146AA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B4A51C2"/>
    <w:multiLevelType w:val="hybridMultilevel"/>
    <w:tmpl w:val="862851B6"/>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40B47CC5"/>
    <w:multiLevelType w:val="hybridMultilevel"/>
    <w:tmpl w:val="DC58B1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2F4D77"/>
    <w:multiLevelType w:val="hybridMultilevel"/>
    <w:tmpl w:val="05468B3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CE70645"/>
    <w:multiLevelType w:val="hybridMultilevel"/>
    <w:tmpl w:val="79C2666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D5A41F8"/>
    <w:multiLevelType w:val="hybridMultilevel"/>
    <w:tmpl w:val="2BC22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04826EE"/>
    <w:multiLevelType w:val="hybridMultilevel"/>
    <w:tmpl w:val="500A25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B76A7E"/>
    <w:multiLevelType w:val="hybridMultilevel"/>
    <w:tmpl w:val="414A48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D87873"/>
    <w:multiLevelType w:val="hybridMultilevel"/>
    <w:tmpl w:val="59A8F85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A176443"/>
    <w:multiLevelType w:val="hybridMultilevel"/>
    <w:tmpl w:val="44C0FCC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AC202CA"/>
    <w:multiLevelType w:val="hybridMultilevel"/>
    <w:tmpl w:val="664CDCB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E5A4668"/>
    <w:multiLevelType w:val="hybridMultilevel"/>
    <w:tmpl w:val="7AAA491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ECC5CB6"/>
    <w:multiLevelType w:val="hybridMultilevel"/>
    <w:tmpl w:val="B9B2761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1DE226A"/>
    <w:multiLevelType w:val="hybridMultilevel"/>
    <w:tmpl w:val="7DAEFE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91D2501"/>
    <w:multiLevelType w:val="hybridMultilevel"/>
    <w:tmpl w:val="A260D3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
  </w:num>
  <w:num w:numId="3">
    <w:abstractNumId w:val="6"/>
  </w:num>
  <w:num w:numId="4">
    <w:abstractNumId w:val="14"/>
  </w:num>
  <w:num w:numId="5">
    <w:abstractNumId w:val="16"/>
  </w:num>
  <w:num w:numId="6">
    <w:abstractNumId w:val="11"/>
  </w:num>
  <w:num w:numId="7">
    <w:abstractNumId w:val="22"/>
  </w:num>
  <w:num w:numId="8">
    <w:abstractNumId w:val="23"/>
  </w:num>
  <w:num w:numId="9">
    <w:abstractNumId w:val="1"/>
  </w:num>
  <w:num w:numId="10">
    <w:abstractNumId w:val="3"/>
  </w:num>
  <w:num w:numId="11">
    <w:abstractNumId w:val="8"/>
  </w:num>
  <w:num w:numId="12">
    <w:abstractNumId w:val="4"/>
  </w:num>
  <w:num w:numId="13">
    <w:abstractNumId w:val="10"/>
  </w:num>
  <w:num w:numId="14">
    <w:abstractNumId w:val="13"/>
  </w:num>
  <w:num w:numId="15">
    <w:abstractNumId w:val="9"/>
  </w:num>
  <w:num w:numId="16">
    <w:abstractNumId w:val="18"/>
  </w:num>
  <w:num w:numId="17">
    <w:abstractNumId w:val="21"/>
  </w:num>
  <w:num w:numId="18">
    <w:abstractNumId w:val="19"/>
  </w:num>
  <w:num w:numId="19">
    <w:abstractNumId w:val="5"/>
  </w:num>
  <w:num w:numId="20">
    <w:abstractNumId w:val="12"/>
  </w:num>
  <w:num w:numId="21">
    <w:abstractNumId w:val="0"/>
  </w:num>
  <w:num w:numId="22">
    <w:abstractNumId w:val="17"/>
  </w:num>
  <w:num w:numId="23">
    <w:abstractNumId w:val="20"/>
  </w:num>
  <w:num w:numId="2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48FC"/>
    <w:rsid w:val="00064462"/>
    <w:rsid w:val="00075CD6"/>
    <w:rsid w:val="001616DB"/>
    <w:rsid w:val="001D7E1E"/>
    <w:rsid w:val="00270BE9"/>
    <w:rsid w:val="002869F0"/>
    <w:rsid w:val="00304BE9"/>
    <w:rsid w:val="00366F9E"/>
    <w:rsid w:val="003E26E0"/>
    <w:rsid w:val="00423AC3"/>
    <w:rsid w:val="004F4B72"/>
    <w:rsid w:val="00524089"/>
    <w:rsid w:val="005527E9"/>
    <w:rsid w:val="00556D6E"/>
    <w:rsid w:val="006348FC"/>
    <w:rsid w:val="006E454A"/>
    <w:rsid w:val="006F4B22"/>
    <w:rsid w:val="00754E83"/>
    <w:rsid w:val="007B5A63"/>
    <w:rsid w:val="0086005B"/>
    <w:rsid w:val="008729E2"/>
    <w:rsid w:val="00897BDF"/>
    <w:rsid w:val="008F0F78"/>
    <w:rsid w:val="00966BB2"/>
    <w:rsid w:val="00A70867"/>
    <w:rsid w:val="00B4427D"/>
    <w:rsid w:val="00B72A2C"/>
    <w:rsid w:val="00C776FB"/>
    <w:rsid w:val="00C92BE7"/>
    <w:rsid w:val="00CB4804"/>
    <w:rsid w:val="00D01966"/>
    <w:rsid w:val="00D2743E"/>
    <w:rsid w:val="00D46147"/>
    <w:rsid w:val="00E95823"/>
    <w:rsid w:val="00F920C1"/>
    <w:rsid w:val="00FA1F11"/>
    <w:rsid w:val="00FB11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9E7167"/>
  <w15:chartTrackingRefBased/>
  <w15:docId w15:val="{F6ED8C01-D9ED-4460-B87D-1147BB273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348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348FC"/>
  </w:style>
  <w:style w:type="paragraph" w:styleId="Footer">
    <w:name w:val="footer"/>
    <w:basedOn w:val="Normal"/>
    <w:link w:val="FooterChar"/>
    <w:uiPriority w:val="99"/>
    <w:unhideWhenUsed/>
    <w:rsid w:val="006348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348FC"/>
  </w:style>
  <w:style w:type="paragraph" w:styleId="ListParagraph">
    <w:name w:val="List Paragraph"/>
    <w:basedOn w:val="Normal"/>
    <w:uiPriority w:val="34"/>
    <w:qFormat/>
    <w:rsid w:val="006348FC"/>
    <w:pPr>
      <w:ind w:left="720"/>
      <w:contextualSpacing/>
    </w:pPr>
  </w:style>
  <w:style w:type="character" w:customStyle="1" w:styleId="sectionnumber">
    <w:name w:val="sectionnumber"/>
    <w:basedOn w:val="DefaultParagraphFont"/>
    <w:rsid w:val="00E95823"/>
  </w:style>
  <w:style w:type="character" w:customStyle="1" w:styleId="catchlinetext">
    <w:name w:val="catchlinetext"/>
    <w:basedOn w:val="DefaultParagraphFont"/>
    <w:rsid w:val="00E95823"/>
  </w:style>
  <w:style w:type="character" w:customStyle="1" w:styleId="emdash">
    <w:name w:val="emdash"/>
    <w:basedOn w:val="DefaultParagraphFont"/>
    <w:rsid w:val="00E95823"/>
  </w:style>
  <w:style w:type="character" w:customStyle="1" w:styleId="sectionbody">
    <w:name w:val="sectionbody"/>
    <w:basedOn w:val="DefaultParagraphFont"/>
    <w:rsid w:val="00E95823"/>
  </w:style>
  <w:style w:type="character" w:customStyle="1" w:styleId="number">
    <w:name w:val="number"/>
    <w:basedOn w:val="DefaultParagraphFont"/>
    <w:rsid w:val="00E95823"/>
  </w:style>
  <w:style w:type="character" w:customStyle="1" w:styleId="text">
    <w:name w:val="text"/>
    <w:basedOn w:val="DefaultParagraphFont"/>
    <w:rsid w:val="00E95823"/>
  </w:style>
  <w:style w:type="character" w:styleId="Hyperlink">
    <w:name w:val="Hyperlink"/>
    <w:basedOn w:val="DefaultParagraphFont"/>
    <w:uiPriority w:val="99"/>
    <w:semiHidden/>
    <w:unhideWhenUsed/>
    <w:rsid w:val="00E95823"/>
    <w:rPr>
      <w:color w:val="0000FF"/>
      <w:u w:val="single"/>
    </w:rPr>
  </w:style>
  <w:style w:type="character" w:customStyle="1" w:styleId="historytitle">
    <w:name w:val="historytitle"/>
    <w:basedOn w:val="DefaultParagraphFont"/>
    <w:rsid w:val="00F920C1"/>
  </w:style>
  <w:style w:type="character" w:customStyle="1" w:styleId="historytext">
    <w:name w:val="historytext"/>
    <w:basedOn w:val="DefaultParagraphFont"/>
    <w:rsid w:val="00F920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006189">
      <w:bodyDiv w:val="1"/>
      <w:marLeft w:val="0"/>
      <w:marRight w:val="0"/>
      <w:marTop w:val="0"/>
      <w:marBottom w:val="0"/>
      <w:divBdr>
        <w:top w:val="none" w:sz="0" w:space="0" w:color="auto"/>
        <w:left w:val="none" w:sz="0" w:space="0" w:color="auto"/>
        <w:bottom w:val="none" w:sz="0" w:space="0" w:color="auto"/>
        <w:right w:val="none" w:sz="0" w:space="0" w:color="auto"/>
      </w:divBdr>
      <w:divsChild>
        <w:div w:id="1498694561">
          <w:marLeft w:val="0"/>
          <w:marRight w:val="0"/>
          <w:marTop w:val="0"/>
          <w:marBottom w:val="0"/>
          <w:divBdr>
            <w:top w:val="none" w:sz="0" w:space="0" w:color="auto"/>
            <w:left w:val="none" w:sz="0" w:space="0" w:color="auto"/>
            <w:bottom w:val="none" w:sz="0" w:space="0" w:color="auto"/>
            <w:right w:val="none" w:sz="0" w:space="0" w:color="auto"/>
          </w:divBdr>
        </w:div>
        <w:div w:id="864487436">
          <w:marLeft w:val="0"/>
          <w:marRight w:val="0"/>
          <w:marTop w:val="0"/>
          <w:marBottom w:val="0"/>
          <w:divBdr>
            <w:top w:val="none" w:sz="0" w:space="0" w:color="auto"/>
            <w:left w:val="none" w:sz="0" w:space="0" w:color="auto"/>
            <w:bottom w:val="none" w:sz="0" w:space="0" w:color="auto"/>
            <w:right w:val="none" w:sz="0" w:space="0" w:color="auto"/>
          </w:divBdr>
          <w:divsChild>
            <w:div w:id="55973570">
              <w:marLeft w:val="0"/>
              <w:marRight w:val="0"/>
              <w:marTop w:val="0"/>
              <w:marBottom w:val="0"/>
              <w:divBdr>
                <w:top w:val="none" w:sz="0" w:space="0" w:color="auto"/>
                <w:left w:val="none" w:sz="0" w:space="0" w:color="auto"/>
                <w:bottom w:val="none" w:sz="0" w:space="0" w:color="auto"/>
                <w:right w:val="none" w:sz="0" w:space="0" w:color="auto"/>
              </w:divBdr>
            </w:div>
            <w:div w:id="244849516">
              <w:marLeft w:val="0"/>
              <w:marRight w:val="0"/>
              <w:marTop w:val="0"/>
              <w:marBottom w:val="0"/>
              <w:divBdr>
                <w:top w:val="none" w:sz="0" w:space="0" w:color="auto"/>
                <w:left w:val="none" w:sz="0" w:space="0" w:color="auto"/>
                <w:bottom w:val="none" w:sz="0" w:space="0" w:color="auto"/>
                <w:right w:val="none" w:sz="0" w:space="0" w:color="auto"/>
              </w:divBdr>
            </w:div>
            <w:div w:id="8261599">
              <w:marLeft w:val="0"/>
              <w:marRight w:val="0"/>
              <w:marTop w:val="0"/>
              <w:marBottom w:val="0"/>
              <w:divBdr>
                <w:top w:val="none" w:sz="0" w:space="0" w:color="auto"/>
                <w:left w:val="none" w:sz="0" w:space="0" w:color="auto"/>
                <w:bottom w:val="none" w:sz="0" w:space="0" w:color="auto"/>
                <w:right w:val="none" w:sz="0" w:space="0" w:color="auto"/>
              </w:divBdr>
            </w:div>
            <w:div w:id="1563297945">
              <w:marLeft w:val="0"/>
              <w:marRight w:val="0"/>
              <w:marTop w:val="0"/>
              <w:marBottom w:val="0"/>
              <w:divBdr>
                <w:top w:val="none" w:sz="0" w:space="0" w:color="auto"/>
                <w:left w:val="none" w:sz="0" w:space="0" w:color="auto"/>
                <w:bottom w:val="none" w:sz="0" w:space="0" w:color="auto"/>
                <w:right w:val="none" w:sz="0" w:space="0" w:color="auto"/>
              </w:divBdr>
            </w:div>
            <w:div w:id="1449010326">
              <w:marLeft w:val="0"/>
              <w:marRight w:val="0"/>
              <w:marTop w:val="0"/>
              <w:marBottom w:val="0"/>
              <w:divBdr>
                <w:top w:val="none" w:sz="0" w:space="0" w:color="auto"/>
                <w:left w:val="none" w:sz="0" w:space="0" w:color="auto"/>
                <w:bottom w:val="none" w:sz="0" w:space="0" w:color="auto"/>
                <w:right w:val="none" w:sz="0" w:space="0" w:color="auto"/>
              </w:divBdr>
            </w:div>
            <w:div w:id="329210977">
              <w:marLeft w:val="0"/>
              <w:marRight w:val="0"/>
              <w:marTop w:val="0"/>
              <w:marBottom w:val="0"/>
              <w:divBdr>
                <w:top w:val="none" w:sz="0" w:space="0" w:color="auto"/>
                <w:left w:val="none" w:sz="0" w:space="0" w:color="auto"/>
                <w:bottom w:val="none" w:sz="0" w:space="0" w:color="auto"/>
                <w:right w:val="none" w:sz="0" w:space="0" w:color="auto"/>
              </w:divBdr>
            </w:div>
            <w:div w:id="259221169">
              <w:marLeft w:val="0"/>
              <w:marRight w:val="0"/>
              <w:marTop w:val="0"/>
              <w:marBottom w:val="0"/>
              <w:divBdr>
                <w:top w:val="none" w:sz="0" w:space="0" w:color="auto"/>
                <w:left w:val="none" w:sz="0" w:space="0" w:color="auto"/>
                <w:bottom w:val="none" w:sz="0" w:space="0" w:color="auto"/>
                <w:right w:val="none" w:sz="0" w:space="0" w:color="auto"/>
              </w:divBdr>
            </w:div>
            <w:div w:id="1134366470">
              <w:marLeft w:val="0"/>
              <w:marRight w:val="0"/>
              <w:marTop w:val="0"/>
              <w:marBottom w:val="0"/>
              <w:divBdr>
                <w:top w:val="none" w:sz="0" w:space="0" w:color="auto"/>
                <w:left w:val="none" w:sz="0" w:space="0" w:color="auto"/>
                <w:bottom w:val="none" w:sz="0" w:space="0" w:color="auto"/>
                <w:right w:val="none" w:sz="0" w:space="0" w:color="auto"/>
              </w:divBdr>
            </w:div>
            <w:div w:id="1797530984">
              <w:marLeft w:val="0"/>
              <w:marRight w:val="0"/>
              <w:marTop w:val="0"/>
              <w:marBottom w:val="0"/>
              <w:divBdr>
                <w:top w:val="none" w:sz="0" w:space="0" w:color="auto"/>
                <w:left w:val="none" w:sz="0" w:space="0" w:color="auto"/>
                <w:bottom w:val="none" w:sz="0" w:space="0" w:color="auto"/>
                <w:right w:val="none" w:sz="0" w:space="0" w:color="auto"/>
              </w:divBdr>
            </w:div>
            <w:div w:id="224686833">
              <w:marLeft w:val="0"/>
              <w:marRight w:val="0"/>
              <w:marTop w:val="0"/>
              <w:marBottom w:val="0"/>
              <w:divBdr>
                <w:top w:val="none" w:sz="0" w:space="0" w:color="auto"/>
                <w:left w:val="none" w:sz="0" w:space="0" w:color="auto"/>
                <w:bottom w:val="none" w:sz="0" w:space="0" w:color="auto"/>
                <w:right w:val="none" w:sz="0" w:space="0" w:color="auto"/>
              </w:divBdr>
            </w:div>
          </w:divsChild>
        </w:div>
        <w:div w:id="1295525160">
          <w:marLeft w:val="0"/>
          <w:marRight w:val="0"/>
          <w:marTop w:val="0"/>
          <w:marBottom w:val="0"/>
          <w:divBdr>
            <w:top w:val="none" w:sz="0" w:space="0" w:color="auto"/>
            <w:left w:val="none" w:sz="0" w:space="0" w:color="auto"/>
            <w:bottom w:val="none" w:sz="0" w:space="0" w:color="auto"/>
            <w:right w:val="none" w:sz="0" w:space="0" w:color="auto"/>
          </w:divBdr>
        </w:div>
        <w:div w:id="182285576">
          <w:marLeft w:val="0"/>
          <w:marRight w:val="0"/>
          <w:marTop w:val="0"/>
          <w:marBottom w:val="0"/>
          <w:divBdr>
            <w:top w:val="none" w:sz="0" w:space="0" w:color="auto"/>
            <w:left w:val="none" w:sz="0" w:space="0" w:color="auto"/>
            <w:bottom w:val="none" w:sz="0" w:space="0" w:color="auto"/>
            <w:right w:val="none" w:sz="0" w:space="0" w:color="auto"/>
          </w:divBdr>
        </w:div>
        <w:div w:id="1363359071">
          <w:marLeft w:val="0"/>
          <w:marRight w:val="0"/>
          <w:marTop w:val="0"/>
          <w:marBottom w:val="0"/>
          <w:divBdr>
            <w:top w:val="none" w:sz="0" w:space="0" w:color="auto"/>
            <w:left w:val="none" w:sz="0" w:space="0" w:color="auto"/>
            <w:bottom w:val="none" w:sz="0" w:space="0" w:color="auto"/>
            <w:right w:val="none" w:sz="0" w:space="0" w:color="auto"/>
          </w:divBdr>
        </w:div>
        <w:div w:id="622738247">
          <w:marLeft w:val="0"/>
          <w:marRight w:val="0"/>
          <w:marTop w:val="0"/>
          <w:marBottom w:val="0"/>
          <w:divBdr>
            <w:top w:val="none" w:sz="0" w:space="0" w:color="auto"/>
            <w:left w:val="none" w:sz="0" w:space="0" w:color="auto"/>
            <w:bottom w:val="none" w:sz="0" w:space="0" w:color="auto"/>
            <w:right w:val="none" w:sz="0" w:space="0" w:color="auto"/>
          </w:divBdr>
        </w:div>
        <w:div w:id="907224143">
          <w:marLeft w:val="0"/>
          <w:marRight w:val="0"/>
          <w:marTop w:val="0"/>
          <w:marBottom w:val="0"/>
          <w:divBdr>
            <w:top w:val="none" w:sz="0" w:space="0" w:color="auto"/>
            <w:left w:val="none" w:sz="0" w:space="0" w:color="auto"/>
            <w:bottom w:val="none" w:sz="0" w:space="0" w:color="auto"/>
            <w:right w:val="none" w:sz="0" w:space="0" w:color="auto"/>
          </w:divBdr>
        </w:div>
      </w:divsChild>
    </w:div>
    <w:div w:id="260797225">
      <w:bodyDiv w:val="1"/>
      <w:marLeft w:val="0"/>
      <w:marRight w:val="0"/>
      <w:marTop w:val="0"/>
      <w:marBottom w:val="0"/>
      <w:divBdr>
        <w:top w:val="none" w:sz="0" w:space="0" w:color="auto"/>
        <w:left w:val="none" w:sz="0" w:space="0" w:color="auto"/>
        <w:bottom w:val="none" w:sz="0" w:space="0" w:color="auto"/>
        <w:right w:val="none" w:sz="0" w:space="0" w:color="auto"/>
      </w:divBdr>
      <w:divsChild>
        <w:div w:id="667633876">
          <w:marLeft w:val="0"/>
          <w:marRight w:val="0"/>
          <w:marTop w:val="0"/>
          <w:marBottom w:val="0"/>
          <w:divBdr>
            <w:top w:val="none" w:sz="0" w:space="0" w:color="auto"/>
            <w:left w:val="none" w:sz="0" w:space="0" w:color="auto"/>
            <w:bottom w:val="none" w:sz="0" w:space="0" w:color="auto"/>
            <w:right w:val="none" w:sz="0" w:space="0" w:color="auto"/>
          </w:divBdr>
          <w:divsChild>
            <w:div w:id="898248832">
              <w:marLeft w:val="0"/>
              <w:marRight w:val="0"/>
              <w:marTop w:val="0"/>
              <w:marBottom w:val="0"/>
              <w:divBdr>
                <w:top w:val="none" w:sz="0" w:space="0" w:color="auto"/>
                <w:left w:val="none" w:sz="0" w:space="0" w:color="auto"/>
                <w:bottom w:val="none" w:sz="0" w:space="0" w:color="auto"/>
                <w:right w:val="none" w:sz="0" w:space="0" w:color="auto"/>
              </w:divBdr>
              <w:divsChild>
                <w:div w:id="1840348895">
                  <w:marLeft w:val="0"/>
                  <w:marRight w:val="0"/>
                  <w:marTop w:val="0"/>
                  <w:marBottom w:val="0"/>
                  <w:divBdr>
                    <w:top w:val="none" w:sz="0" w:space="0" w:color="auto"/>
                    <w:left w:val="none" w:sz="0" w:space="0" w:color="auto"/>
                    <w:bottom w:val="none" w:sz="0" w:space="0" w:color="auto"/>
                    <w:right w:val="none" w:sz="0" w:space="0" w:color="auto"/>
                  </w:divBdr>
                </w:div>
                <w:div w:id="1664121027">
                  <w:marLeft w:val="0"/>
                  <w:marRight w:val="0"/>
                  <w:marTop w:val="0"/>
                  <w:marBottom w:val="0"/>
                  <w:divBdr>
                    <w:top w:val="none" w:sz="0" w:space="0" w:color="auto"/>
                    <w:left w:val="none" w:sz="0" w:space="0" w:color="auto"/>
                    <w:bottom w:val="none" w:sz="0" w:space="0" w:color="auto"/>
                    <w:right w:val="none" w:sz="0" w:space="0" w:color="auto"/>
                  </w:divBdr>
                </w:div>
                <w:div w:id="2018577745">
                  <w:marLeft w:val="0"/>
                  <w:marRight w:val="0"/>
                  <w:marTop w:val="0"/>
                  <w:marBottom w:val="0"/>
                  <w:divBdr>
                    <w:top w:val="none" w:sz="0" w:space="0" w:color="auto"/>
                    <w:left w:val="none" w:sz="0" w:space="0" w:color="auto"/>
                    <w:bottom w:val="none" w:sz="0" w:space="0" w:color="auto"/>
                    <w:right w:val="none" w:sz="0" w:space="0" w:color="auto"/>
                  </w:divBdr>
                </w:div>
                <w:div w:id="1927228510">
                  <w:marLeft w:val="0"/>
                  <w:marRight w:val="0"/>
                  <w:marTop w:val="0"/>
                  <w:marBottom w:val="0"/>
                  <w:divBdr>
                    <w:top w:val="none" w:sz="0" w:space="0" w:color="auto"/>
                    <w:left w:val="none" w:sz="0" w:space="0" w:color="auto"/>
                    <w:bottom w:val="none" w:sz="0" w:space="0" w:color="auto"/>
                    <w:right w:val="none" w:sz="0" w:space="0" w:color="auto"/>
                  </w:divBdr>
                </w:div>
                <w:div w:id="338821522">
                  <w:marLeft w:val="0"/>
                  <w:marRight w:val="0"/>
                  <w:marTop w:val="0"/>
                  <w:marBottom w:val="0"/>
                  <w:divBdr>
                    <w:top w:val="none" w:sz="0" w:space="0" w:color="auto"/>
                    <w:left w:val="none" w:sz="0" w:space="0" w:color="auto"/>
                    <w:bottom w:val="none" w:sz="0" w:space="0" w:color="auto"/>
                    <w:right w:val="none" w:sz="0" w:space="0" w:color="auto"/>
                  </w:divBdr>
                </w:div>
              </w:divsChild>
            </w:div>
            <w:div w:id="915553227">
              <w:marLeft w:val="0"/>
              <w:marRight w:val="0"/>
              <w:marTop w:val="0"/>
              <w:marBottom w:val="0"/>
              <w:divBdr>
                <w:top w:val="none" w:sz="0" w:space="0" w:color="auto"/>
                <w:left w:val="none" w:sz="0" w:space="0" w:color="auto"/>
                <w:bottom w:val="none" w:sz="0" w:space="0" w:color="auto"/>
                <w:right w:val="none" w:sz="0" w:space="0" w:color="auto"/>
              </w:divBdr>
            </w:div>
            <w:div w:id="922880430">
              <w:marLeft w:val="0"/>
              <w:marRight w:val="0"/>
              <w:marTop w:val="0"/>
              <w:marBottom w:val="0"/>
              <w:divBdr>
                <w:top w:val="none" w:sz="0" w:space="0" w:color="auto"/>
                <w:left w:val="none" w:sz="0" w:space="0" w:color="auto"/>
                <w:bottom w:val="none" w:sz="0" w:space="0" w:color="auto"/>
                <w:right w:val="none" w:sz="0" w:space="0" w:color="auto"/>
              </w:divBdr>
              <w:divsChild>
                <w:div w:id="90052180">
                  <w:marLeft w:val="0"/>
                  <w:marRight w:val="0"/>
                  <w:marTop w:val="0"/>
                  <w:marBottom w:val="0"/>
                  <w:divBdr>
                    <w:top w:val="none" w:sz="0" w:space="0" w:color="auto"/>
                    <w:left w:val="none" w:sz="0" w:space="0" w:color="auto"/>
                    <w:bottom w:val="none" w:sz="0" w:space="0" w:color="auto"/>
                    <w:right w:val="none" w:sz="0" w:space="0" w:color="auto"/>
                  </w:divBdr>
                </w:div>
                <w:div w:id="807626704">
                  <w:marLeft w:val="0"/>
                  <w:marRight w:val="0"/>
                  <w:marTop w:val="0"/>
                  <w:marBottom w:val="0"/>
                  <w:divBdr>
                    <w:top w:val="none" w:sz="0" w:space="0" w:color="auto"/>
                    <w:left w:val="none" w:sz="0" w:space="0" w:color="auto"/>
                    <w:bottom w:val="none" w:sz="0" w:space="0" w:color="auto"/>
                    <w:right w:val="none" w:sz="0" w:space="0" w:color="auto"/>
                  </w:divBdr>
                </w:div>
              </w:divsChild>
            </w:div>
            <w:div w:id="1861699913">
              <w:marLeft w:val="0"/>
              <w:marRight w:val="0"/>
              <w:marTop w:val="0"/>
              <w:marBottom w:val="0"/>
              <w:divBdr>
                <w:top w:val="none" w:sz="0" w:space="0" w:color="auto"/>
                <w:left w:val="none" w:sz="0" w:space="0" w:color="auto"/>
                <w:bottom w:val="none" w:sz="0" w:space="0" w:color="auto"/>
                <w:right w:val="none" w:sz="0" w:space="0" w:color="auto"/>
              </w:divBdr>
            </w:div>
            <w:div w:id="419910847">
              <w:marLeft w:val="0"/>
              <w:marRight w:val="0"/>
              <w:marTop w:val="0"/>
              <w:marBottom w:val="0"/>
              <w:divBdr>
                <w:top w:val="none" w:sz="0" w:space="0" w:color="auto"/>
                <w:left w:val="none" w:sz="0" w:space="0" w:color="auto"/>
                <w:bottom w:val="none" w:sz="0" w:space="0" w:color="auto"/>
                <w:right w:val="none" w:sz="0" w:space="0" w:color="auto"/>
              </w:divBdr>
            </w:div>
            <w:div w:id="884293447">
              <w:marLeft w:val="0"/>
              <w:marRight w:val="0"/>
              <w:marTop w:val="0"/>
              <w:marBottom w:val="0"/>
              <w:divBdr>
                <w:top w:val="none" w:sz="0" w:space="0" w:color="auto"/>
                <w:left w:val="none" w:sz="0" w:space="0" w:color="auto"/>
                <w:bottom w:val="none" w:sz="0" w:space="0" w:color="auto"/>
                <w:right w:val="none" w:sz="0" w:space="0" w:color="auto"/>
              </w:divBdr>
            </w:div>
            <w:div w:id="796995572">
              <w:marLeft w:val="0"/>
              <w:marRight w:val="0"/>
              <w:marTop w:val="0"/>
              <w:marBottom w:val="0"/>
              <w:divBdr>
                <w:top w:val="none" w:sz="0" w:space="0" w:color="auto"/>
                <w:left w:val="none" w:sz="0" w:space="0" w:color="auto"/>
                <w:bottom w:val="none" w:sz="0" w:space="0" w:color="auto"/>
                <w:right w:val="none" w:sz="0" w:space="0" w:color="auto"/>
              </w:divBdr>
            </w:div>
            <w:div w:id="1232472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862115">
      <w:bodyDiv w:val="1"/>
      <w:marLeft w:val="0"/>
      <w:marRight w:val="0"/>
      <w:marTop w:val="0"/>
      <w:marBottom w:val="0"/>
      <w:divBdr>
        <w:top w:val="none" w:sz="0" w:space="0" w:color="auto"/>
        <w:left w:val="none" w:sz="0" w:space="0" w:color="auto"/>
        <w:bottom w:val="none" w:sz="0" w:space="0" w:color="auto"/>
        <w:right w:val="none" w:sz="0" w:space="0" w:color="auto"/>
      </w:divBdr>
      <w:divsChild>
        <w:div w:id="549725411">
          <w:marLeft w:val="0"/>
          <w:marRight w:val="0"/>
          <w:marTop w:val="0"/>
          <w:marBottom w:val="0"/>
          <w:divBdr>
            <w:top w:val="none" w:sz="0" w:space="0" w:color="auto"/>
            <w:left w:val="none" w:sz="0" w:space="0" w:color="auto"/>
            <w:bottom w:val="none" w:sz="0" w:space="0" w:color="auto"/>
            <w:right w:val="none" w:sz="0" w:space="0" w:color="auto"/>
          </w:divBdr>
          <w:divsChild>
            <w:div w:id="547574986">
              <w:marLeft w:val="0"/>
              <w:marRight w:val="0"/>
              <w:marTop w:val="0"/>
              <w:marBottom w:val="0"/>
              <w:divBdr>
                <w:top w:val="none" w:sz="0" w:space="0" w:color="auto"/>
                <w:left w:val="none" w:sz="0" w:space="0" w:color="auto"/>
                <w:bottom w:val="none" w:sz="0" w:space="0" w:color="auto"/>
                <w:right w:val="none" w:sz="0" w:space="0" w:color="auto"/>
              </w:divBdr>
            </w:div>
            <w:div w:id="1752509264">
              <w:marLeft w:val="0"/>
              <w:marRight w:val="0"/>
              <w:marTop w:val="0"/>
              <w:marBottom w:val="0"/>
              <w:divBdr>
                <w:top w:val="none" w:sz="0" w:space="0" w:color="auto"/>
                <w:left w:val="none" w:sz="0" w:space="0" w:color="auto"/>
                <w:bottom w:val="none" w:sz="0" w:space="0" w:color="auto"/>
                <w:right w:val="none" w:sz="0" w:space="0" w:color="auto"/>
              </w:divBdr>
            </w:div>
            <w:div w:id="1959750484">
              <w:marLeft w:val="0"/>
              <w:marRight w:val="0"/>
              <w:marTop w:val="0"/>
              <w:marBottom w:val="0"/>
              <w:divBdr>
                <w:top w:val="none" w:sz="0" w:space="0" w:color="auto"/>
                <w:left w:val="none" w:sz="0" w:space="0" w:color="auto"/>
                <w:bottom w:val="none" w:sz="0" w:space="0" w:color="auto"/>
                <w:right w:val="none" w:sz="0" w:space="0" w:color="auto"/>
              </w:divBdr>
              <w:divsChild>
                <w:div w:id="1065647168">
                  <w:marLeft w:val="0"/>
                  <w:marRight w:val="0"/>
                  <w:marTop w:val="0"/>
                  <w:marBottom w:val="0"/>
                  <w:divBdr>
                    <w:top w:val="none" w:sz="0" w:space="0" w:color="auto"/>
                    <w:left w:val="none" w:sz="0" w:space="0" w:color="auto"/>
                    <w:bottom w:val="none" w:sz="0" w:space="0" w:color="auto"/>
                    <w:right w:val="none" w:sz="0" w:space="0" w:color="auto"/>
                  </w:divBdr>
                </w:div>
                <w:div w:id="1403216956">
                  <w:marLeft w:val="0"/>
                  <w:marRight w:val="0"/>
                  <w:marTop w:val="0"/>
                  <w:marBottom w:val="0"/>
                  <w:divBdr>
                    <w:top w:val="none" w:sz="0" w:space="0" w:color="auto"/>
                    <w:left w:val="none" w:sz="0" w:space="0" w:color="auto"/>
                    <w:bottom w:val="none" w:sz="0" w:space="0" w:color="auto"/>
                    <w:right w:val="none" w:sz="0" w:space="0" w:color="auto"/>
                  </w:divBdr>
                </w:div>
                <w:div w:id="60714129">
                  <w:marLeft w:val="0"/>
                  <w:marRight w:val="0"/>
                  <w:marTop w:val="0"/>
                  <w:marBottom w:val="0"/>
                  <w:divBdr>
                    <w:top w:val="none" w:sz="0" w:space="0" w:color="auto"/>
                    <w:left w:val="none" w:sz="0" w:space="0" w:color="auto"/>
                    <w:bottom w:val="none" w:sz="0" w:space="0" w:color="auto"/>
                    <w:right w:val="none" w:sz="0" w:space="0" w:color="auto"/>
                  </w:divBdr>
                </w:div>
                <w:div w:id="343093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19184">
          <w:marLeft w:val="0"/>
          <w:marRight w:val="0"/>
          <w:marTop w:val="0"/>
          <w:marBottom w:val="0"/>
          <w:divBdr>
            <w:top w:val="none" w:sz="0" w:space="0" w:color="auto"/>
            <w:left w:val="none" w:sz="0" w:space="0" w:color="auto"/>
            <w:bottom w:val="none" w:sz="0" w:space="0" w:color="auto"/>
            <w:right w:val="none" w:sz="0" w:space="0" w:color="auto"/>
          </w:divBdr>
          <w:divsChild>
            <w:div w:id="981471448">
              <w:marLeft w:val="0"/>
              <w:marRight w:val="0"/>
              <w:marTop w:val="0"/>
              <w:marBottom w:val="0"/>
              <w:divBdr>
                <w:top w:val="none" w:sz="0" w:space="0" w:color="auto"/>
                <w:left w:val="none" w:sz="0" w:space="0" w:color="auto"/>
                <w:bottom w:val="none" w:sz="0" w:space="0" w:color="auto"/>
                <w:right w:val="none" w:sz="0" w:space="0" w:color="auto"/>
              </w:divBdr>
            </w:div>
            <w:div w:id="1240210952">
              <w:marLeft w:val="0"/>
              <w:marRight w:val="0"/>
              <w:marTop w:val="0"/>
              <w:marBottom w:val="0"/>
              <w:divBdr>
                <w:top w:val="none" w:sz="0" w:space="0" w:color="auto"/>
                <w:left w:val="none" w:sz="0" w:space="0" w:color="auto"/>
                <w:bottom w:val="none" w:sz="0" w:space="0" w:color="auto"/>
                <w:right w:val="none" w:sz="0" w:space="0" w:color="auto"/>
              </w:divBdr>
            </w:div>
            <w:div w:id="877820156">
              <w:marLeft w:val="0"/>
              <w:marRight w:val="0"/>
              <w:marTop w:val="0"/>
              <w:marBottom w:val="0"/>
              <w:divBdr>
                <w:top w:val="none" w:sz="0" w:space="0" w:color="auto"/>
                <w:left w:val="none" w:sz="0" w:space="0" w:color="auto"/>
                <w:bottom w:val="none" w:sz="0" w:space="0" w:color="auto"/>
                <w:right w:val="none" w:sz="0" w:space="0" w:color="auto"/>
              </w:divBdr>
            </w:div>
          </w:divsChild>
        </w:div>
        <w:div w:id="562453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g.state.fl.us/statutes/index.cfm?App_mode=Display_Statute&amp;Search_String=&amp;URL=0100-0199/0163/Sections/0163.3164.html" TargetMode="External"/><Relationship Id="rId13" Type="http://schemas.openxmlformats.org/officeDocument/2006/relationships/hyperlink" Target="http://www.leg.state.fl.us/STATUTES/index.cfm?App_mode=Display_Statute&amp;Search_String=&amp;URL=0100-0199/0163/Sections/0163.31801.html" TargetMode="External"/><Relationship Id="rId3" Type="http://schemas.openxmlformats.org/officeDocument/2006/relationships/settings" Target="settings.xml"/><Relationship Id="rId7" Type="http://schemas.openxmlformats.org/officeDocument/2006/relationships/hyperlink" Target="http://www.leg.state.fl.us/statutes/index.cfm?App_mode=Display_Statute&amp;Search_String=&amp;URL=0100-0199/0163/Sections/0163.3164.html" TargetMode="External"/><Relationship Id="rId12" Type="http://schemas.openxmlformats.org/officeDocument/2006/relationships/hyperlink" Target="http://www.leg.state.fl.us/STATUTES/index.cfm?App_mode=Display_Statute&amp;Search_String=&amp;URL=0000-0099/0070/Sections/0070.001.html"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leg.state.fl.us/STATUTES/index.cfm?App_mode=Display_Statute&amp;Search_String=&amp;URL=0000-0099/0070/Sections/0070.001.html"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www.leg.state.fl.us/STATUTES/index.cfm?App_mode=Display_Statute&amp;Search_String=&amp;URL=0000-0099/0070/Sections/0070.001.html" TargetMode="External"/><Relationship Id="rId4" Type="http://schemas.openxmlformats.org/officeDocument/2006/relationships/webSettings" Target="webSettings.xml"/><Relationship Id="rId9" Type="http://schemas.openxmlformats.org/officeDocument/2006/relationships/hyperlink" Target="http://www.leg.state.fl.us/statutes/index.cfm?App_mode=Display_Statute&amp;Search_String=&amp;URL=0100-0199/0125/Sections/0125.66.html" TargetMode="External"/><Relationship Id="rId14" Type="http://schemas.openxmlformats.org/officeDocument/2006/relationships/hyperlink" Target="http://www.leg.state.fl.us/STATUTES/index.cfm?App_mode=Display_Statute&amp;Search_String=&amp;URL=0100-0199/0197/Sections/0197.3632.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489</TotalTime>
  <Pages>16</Pages>
  <Words>6124</Words>
  <Characters>34907</Characters>
  <Application>Microsoft Office Word</Application>
  <DocSecurity>0</DocSecurity>
  <Lines>290</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Schrader, Carly</dc:creator>
  <cp:keywords/>
  <dc:description/>
  <cp:lastModifiedBy>Schrader, Carly</cp:lastModifiedBy>
  <cp:revision>9</cp:revision>
  <dcterms:created xsi:type="dcterms:W3CDTF">2019-05-04T14:51:00Z</dcterms:created>
  <dcterms:modified xsi:type="dcterms:W3CDTF">2019-05-12T15:57:00Z</dcterms:modified>
</cp:coreProperties>
</file>