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81B71" w14:textId="5185EC25" w:rsidR="001D7E1E" w:rsidRDefault="006E71FC">
      <w:pPr>
        <w:rPr>
          <w:b/>
        </w:rPr>
      </w:pPr>
      <w:r>
        <w:rPr>
          <w:b/>
        </w:rPr>
        <w:t>PUBLIC PRIVATE PARTNERSHIP STATUTE</w:t>
      </w:r>
    </w:p>
    <w:p w14:paraId="19C131B1" w14:textId="239C1C82" w:rsidR="006E71FC" w:rsidRDefault="006E71FC">
      <w:pPr>
        <w:rPr>
          <w:b/>
        </w:rPr>
      </w:pPr>
    </w:p>
    <w:tbl>
      <w:tblPr>
        <w:tblW w:w="0" w:type="auto"/>
        <w:tblCellSpacing w:w="0" w:type="dxa"/>
        <w:tblBorders>
          <w:top w:val="single" w:sz="2" w:space="0" w:color="000000"/>
          <w:left w:val="single" w:sz="2" w:space="0" w:color="000000"/>
          <w:bottom w:val="single" w:sz="2" w:space="0" w:color="000000"/>
          <w:right w:val="single" w:sz="2" w:space="0" w:color="000000"/>
        </w:tblBorders>
        <w:tblCellMar>
          <w:left w:w="0" w:type="dxa"/>
          <w:right w:w="0" w:type="dxa"/>
        </w:tblCellMar>
        <w:tblLook w:val="04A0" w:firstRow="1" w:lastRow="0" w:firstColumn="1" w:lastColumn="0" w:noHBand="0" w:noVBand="1"/>
      </w:tblPr>
      <w:tblGrid>
        <w:gridCol w:w="9235"/>
        <w:gridCol w:w="119"/>
      </w:tblGrid>
      <w:tr w:rsidR="006E71FC" w:rsidRPr="006E71FC" w14:paraId="10584927" w14:textId="77777777" w:rsidTr="006E71FC">
        <w:trPr>
          <w:gridAfter w:val="1"/>
          <w:wAfter w:w="480" w:type="dxa"/>
          <w:tblCellSpacing w:w="0" w:type="dxa"/>
        </w:trPr>
        <w:tc>
          <w:tcPr>
            <w:tcW w:w="0" w:type="auto"/>
            <w:tcMar>
              <w:top w:w="150"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9000"/>
            </w:tblGrid>
            <w:tr w:rsidR="006E71FC" w:rsidRPr="006E71FC" w14:paraId="7D370823" w14:textId="77777777">
              <w:trPr>
                <w:tblCellSpacing w:w="0" w:type="dxa"/>
              </w:trPr>
              <w:tc>
                <w:tcPr>
                  <w:tcW w:w="0" w:type="auto"/>
                  <w:vAlign w:val="center"/>
                  <w:hideMark/>
                </w:tcPr>
                <w:tbl>
                  <w:tblPr>
                    <w:tblW w:w="9000" w:type="dxa"/>
                    <w:tblCellSpacing w:w="0" w:type="dxa"/>
                    <w:tblCellMar>
                      <w:left w:w="0" w:type="dxa"/>
                      <w:right w:w="0" w:type="dxa"/>
                    </w:tblCellMar>
                    <w:tblLook w:val="04A0" w:firstRow="1" w:lastRow="0" w:firstColumn="1" w:lastColumn="0" w:noHBand="0" w:noVBand="1"/>
                  </w:tblPr>
                  <w:tblGrid>
                    <w:gridCol w:w="9000"/>
                  </w:tblGrid>
                  <w:tr w:rsidR="006E71FC" w:rsidRPr="006E71FC" w14:paraId="565D479C" w14:textId="77777777">
                    <w:trPr>
                      <w:tblCellSpacing w:w="0" w:type="dxa"/>
                    </w:trPr>
                    <w:tc>
                      <w:tcPr>
                        <w:tcW w:w="0" w:type="auto"/>
                        <w:vAlign w:val="center"/>
                        <w:hideMark/>
                      </w:tcPr>
                      <w:p w14:paraId="15E27B1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255.065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Public-private partnerships; public records and public meetings </w:t>
                        </w:r>
                        <w:proofErr w:type="gramStart"/>
                        <w:r w:rsidRPr="006E71FC">
                          <w:rPr>
                            <w:rFonts w:ascii="Verdana" w:eastAsia="Times New Roman" w:hAnsi="Verdana" w:cs="Times New Roman"/>
                            <w:color w:val="000080"/>
                            <w:sz w:val="20"/>
                            <w:szCs w:val="20"/>
                          </w:rPr>
                          <w:t>exemptions.—</w:t>
                        </w:r>
                        <w:proofErr w:type="gramEnd"/>
                      </w:p>
                      <w:p w14:paraId="2C987C91" w14:textId="77777777" w:rsidR="006E71FC" w:rsidRPr="006E71FC" w:rsidRDefault="006E71FC" w:rsidP="006E71FC">
                        <w:pPr>
                          <w:spacing w:after="0" w:line="240" w:lineRule="auto"/>
                          <w:rPr>
                            <w:rFonts w:ascii="Times New Roman" w:eastAsia="Times New Roman" w:hAnsi="Times New Roman" w:cs="Times New Roman"/>
                            <w:sz w:val="24"/>
                            <w:szCs w:val="24"/>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proofErr w:type="gramStart"/>
                        <w:r w:rsidRPr="006E71FC">
                          <w:rPr>
                            <w:rFonts w:ascii="Verdana" w:eastAsia="Times New Roman" w:hAnsi="Verdana" w:cs="Times New Roman"/>
                            <w:color w:val="000080"/>
                            <w:sz w:val="20"/>
                            <w:szCs w:val="20"/>
                          </w:rPr>
                          <w:t>DEFINITIONS.—</w:t>
                        </w:r>
                        <w:proofErr w:type="gramEnd"/>
                        <w:r w:rsidRPr="006E71FC">
                          <w:rPr>
                            <w:rFonts w:ascii="Verdana" w:eastAsia="Times New Roman" w:hAnsi="Verdana" w:cs="Times New Roman"/>
                            <w:color w:val="000080"/>
                            <w:sz w:val="20"/>
                            <w:szCs w:val="20"/>
                          </w:rPr>
                          <w:t>As used in this section, the term:</w:t>
                        </w:r>
                      </w:p>
                      <w:p w14:paraId="70EF9965"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“Affected local jurisdiction” means a county, municipality, or special district in which all or a portion of a qualifying project is located.</w:t>
                        </w:r>
                      </w:p>
                      <w:p w14:paraId="32DCA5E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“Develop” means to plan, design, finance, lease, acquire, install, construct, or expand.</w:t>
                        </w:r>
                      </w:p>
                      <w:p w14:paraId="55D5BCF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“Fees” means charges imposed by the private entity of a qualifying project for use of all or a portion of such qualifying project pursuant to a comprehensive agreement.</w:t>
                        </w:r>
                      </w:p>
                      <w:p w14:paraId="03BF9AC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“Lease payment” means any form of payment, including a land lease, by a public entity to the private entity of a qualifying project for the use of the project.</w:t>
                        </w:r>
                      </w:p>
                      <w:p w14:paraId="68A1F44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“Material default” means a nonperformance of its duties by the private entity of a qualifying project which jeopardizes adequate service to the public from the project.</w:t>
                        </w:r>
                      </w:p>
                      <w:p w14:paraId="2825FB4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(f)</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“Operate” means to finance, maintain, improve, equip, modify, or repair.</w:t>
                        </w:r>
                      </w:p>
                      <w:p w14:paraId="54267DD5"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(g)</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“Private entity” means any natural person, corporation, general partnership, limited liability company, limited partnership, joint venture, business trust, public benefit corporation, nonprofit entity, or other private business entity.</w:t>
                        </w:r>
                      </w:p>
                      <w:p w14:paraId="63B62B7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(h)</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“Proposal” means a plan for a qualifying project with detail beyond a conceptual level for which terms such as fixing costs, payment schedules, financing, deliverables, and project schedule are defined.</w:t>
                        </w:r>
                      </w:p>
                      <w:p w14:paraId="5EAD90C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w:t>
                        </w:r>
                        <w:proofErr w:type="spellStart"/>
                        <w:r w:rsidRPr="006E71FC">
                          <w:rPr>
                            <w:rFonts w:ascii="Verdana" w:eastAsia="Times New Roman" w:hAnsi="Verdana" w:cs="Times New Roman"/>
                            <w:color w:val="000080"/>
                            <w:sz w:val="20"/>
                            <w:szCs w:val="20"/>
                          </w:rPr>
                          <w:t>i</w:t>
                        </w:r>
                        <w:proofErr w:type="spellEnd"/>
                        <w:r w:rsidRPr="006E71FC">
                          <w:rPr>
                            <w:rFonts w:ascii="Verdana" w:eastAsia="Times New Roman" w:hAnsi="Verdana" w:cs="Times New Roman"/>
                            <w:color w:val="000080"/>
                            <w:sz w:val="20"/>
                            <w:szCs w:val="20"/>
                          </w:rPr>
                          <w:t>)</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“Qualifying project” means:</w:t>
                        </w:r>
                      </w:p>
                      <w:p w14:paraId="4398E0E3" w14:textId="77777777" w:rsidR="006E71FC" w:rsidRPr="006E71FC" w:rsidRDefault="006E71FC" w:rsidP="006E71FC">
                        <w:pPr>
                          <w:spacing w:after="0" w:line="240" w:lineRule="auto"/>
                          <w:rPr>
                            <w:rFonts w:ascii="Verdana" w:eastAsia="Times New Roman" w:hAnsi="Verdana" w:cs="Times New Roman"/>
                            <w:color w:val="000080"/>
                            <w:sz w:val="20"/>
                            <w:szCs w:val="20"/>
                            <w:highlight w:val="yellow"/>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highlight w:val="yellow"/>
                          </w:rPr>
                          <w:t>A facility or project that serves a public purpose, including, but not limited to, any ferry or mass transit facility, vehicle parking facility, airport or seaport facility, rail facility or project, fuel supply facility, oil or gas pipeline, medical or nursing care facility, recreational facility, sporting or cultural facility, or educational facility or other building or facility that is used or will be used by a public educational institution, or any other public facility or infrastructure that is used or will be used by the public at large or in support of an accepted public purpose or activity;</w:t>
                        </w:r>
                      </w:p>
                      <w:p w14:paraId="5AF84B31" w14:textId="77777777" w:rsidR="006E71FC" w:rsidRPr="006E71FC" w:rsidRDefault="006E71FC" w:rsidP="006E71FC">
                        <w:pPr>
                          <w:spacing w:after="0" w:line="240" w:lineRule="auto"/>
                          <w:rPr>
                            <w:rFonts w:ascii="Verdana" w:eastAsia="Times New Roman" w:hAnsi="Verdana" w:cs="Times New Roman"/>
                            <w:color w:val="000080"/>
                            <w:sz w:val="20"/>
                            <w:szCs w:val="20"/>
                            <w:highlight w:val="yellow"/>
                          </w:rPr>
                        </w:pPr>
                        <w:r w:rsidRPr="006E71FC">
                          <w:rPr>
                            <w:rFonts w:ascii="Verdana" w:eastAsia="Times New Roman" w:hAnsi="Verdana" w:cs="Times New Roman"/>
                            <w:color w:val="000080"/>
                            <w:sz w:val="20"/>
                            <w:szCs w:val="20"/>
                            <w:highlight w:val="yellow"/>
                          </w:rPr>
                          <w:t>2.</w:t>
                        </w:r>
                        <w:r w:rsidRPr="006E71FC">
                          <w:rPr>
                            <w:rFonts w:ascii="Verdana" w:eastAsia="Times New Roman" w:hAnsi="Verdana" w:cs="Times New Roman"/>
                            <w:color w:val="000080"/>
                            <w:sz w:val="20"/>
                            <w:szCs w:val="20"/>
                            <w:highlight w:val="yellow"/>
                          </w:rPr>
                          <w:t> </w:t>
                        </w:r>
                        <w:r w:rsidRPr="006E71FC">
                          <w:rPr>
                            <w:rFonts w:ascii="Verdana" w:eastAsia="Times New Roman" w:hAnsi="Verdana" w:cs="Times New Roman"/>
                            <w:color w:val="000080"/>
                            <w:sz w:val="20"/>
                            <w:szCs w:val="20"/>
                            <w:highlight w:val="yellow"/>
                          </w:rPr>
                          <w:t>An improvement, including equipment, of a building that will be principally used by a public entity or the public at large or that supports a service delivery system in the public sector;</w:t>
                        </w:r>
                      </w:p>
                      <w:p w14:paraId="026971C5" w14:textId="77777777" w:rsidR="006E71FC" w:rsidRPr="006E71FC" w:rsidRDefault="006E71FC" w:rsidP="006E71FC">
                        <w:pPr>
                          <w:spacing w:after="0" w:line="240" w:lineRule="auto"/>
                          <w:rPr>
                            <w:rFonts w:ascii="Verdana" w:eastAsia="Times New Roman" w:hAnsi="Verdana" w:cs="Times New Roman"/>
                            <w:color w:val="000080"/>
                            <w:sz w:val="20"/>
                            <w:szCs w:val="20"/>
                            <w:highlight w:val="yellow"/>
                          </w:rPr>
                        </w:pPr>
                        <w:r w:rsidRPr="006E71FC">
                          <w:rPr>
                            <w:rFonts w:ascii="Verdana" w:eastAsia="Times New Roman" w:hAnsi="Verdana" w:cs="Times New Roman"/>
                            <w:color w:val="000080"/>
                            <w:sz w:val="20"/>
                            <w:szCs w:val="20"/>
                            <w:highlight w:val="yellow"/>
                          </w:rPr>
                          <w:t>3.</w:t>
                        </w:r>
                        <w:r w:rsidRPr="006E71FC">
                          <w:rPr>
                            <w:rFonts w:ascii="Verdana" w:eastAsia="Times New Roman" w:hAnsi="Verdana" w:cs="Times New Roman"/>
                            <w:color w:val="000080"/>
                            <w:sz w:val="20"/>
                            <w:szCs w:val="20"/>
                            <w:highlight w:val="yellow"/>
                          </w:rPr>
                          <w:t> </w:t>
                        </w:r>
                        <w:r w:rsidRPr="006E71FC">
                          <w:rPr>
                            <w:rFonts w:ascii="Verdana" w:eastAsia="Times New Roman" w:hAnsi="Verdana" w:cs="Times New Roman"/>
                            <w:color w:val="000080"/>
                            <w:sz w:val="20"/>
                            <w:szCs w:val="20"/>
                            <w:highlight w:val="yellow"/>
                          </w:rPr>
                          <w:t>A water, wastewater, or surface water management facility or other related infrastructure; or</w:t>
                        </w:r>
                      </w:p>
                      <w:p w14:paraId="223E335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highlight w:val="yellow"/>
                          </w:rPr>
                          <w:t>4.</w:t>
                        </w:r>
                        <w:r w:rsidRPr="006E71FC">
                          <w:rPr>
                            <w:rFonts w:ascii="Verdana" w:eastAsia="Times New Roman" w:hAnsi="Verdana" w:cs="Times New Roman"/>
                            <w:color w:val="000080"/>
                            <w:sz w:val="20"/>
                            <w:szCs w:val="20"/>
                            <w:highlight w:val="yellow"/>
                          </w:rPr>
                          <w:t> </w:t>
                        </w:r>
                        <w:r w:rsidRPr="006E71FC">
                          <w:rPr>
                            <w:rFonts w:ascii="Verdana" w:eastAsia="Times New Roman" w:hAnsi="Verdana" w:cs="Times New Roman"/>
                            <w:color w:val="000080"/>
                            <w:sz w:val="20"/>
                            <w:szCs w:val="20"/>
                            <w:highlight w:val="yellow"/>
                          </w:rPr>
                          <w:t>Notwithstanding any provision of this section, for projects that involve a facility owned or operated by the governing board of a county, district, or municipal hospital or health care system, or projects that involve a facility owned or operated by a municipal electric utility, only those projects that the governing board designates as qualifying projects pursuant to this section.</w:t>
                        </w:r>
                      </w:p>
                      <w:p w14:paraId="4743460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(j)</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“Responsible public entity” means a county, municipality, school district, special district, or any other political subdivision of the state; a public body corporate and politic; or a regional entity that serves a public purpose and is authorized to develop or operate a qualifying project.</w:t>
                        </w:r>
                      </w:p>
                      <w:p w14:paraId="7AE158D8"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(k)</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“Revenues” means the income, earnings, user fees, lease payments, or other service payments relating to the development or operation of a qualifying project, including, but not limited to, money received as grants or otherwise from the Federal Government, a public entity, or an agency or instrumentality thereof in aid of the qualifying project.</w:t>
                        </w:r>
                      </w:p>
                      <w:p w14:paraId="321A576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lastRenderedPageBreak/>
                          <w:t>(l)</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“Service contract” means a contract between a responsible public entity and the private entity which defines the terms of the services to be provided with respect to a qualifying project.</w:t>
                        </w:r>
                      </w:p>
                      <w:p w14:paraId="379894F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LEGISLATIVE FINDINGS AND </w:t>
                        </w:r>
                        <w:proofErr w:type="gramStart"/>
                        <w:r w:rsidRPr="006E71FC">
                          <w:rPr>
                            <w:rFonts w:ascii="Verdana" w:eastAsia="Times New Roman" w:hAnsi="Verdana" w:cs="Times New Roman"/>
                            <w:color w:val="000080"/>
                            <w:sz w:val="20"/>
                            <w:szCs w:val="20"/>
                          </w:rPr>
                          <w:t>INTENT.—</w:t>
                        </w:r>
                        <w:proofErr w:type="gramEnd"/>
                        <w:r w:rsidRPr="006E71FC">
                          <w:rPr>
                            <w:rFonts w:ascii="Verdana" w:eastAsia="Times New Roman" w:hAnsi="Verdana" w:cs="Times New Roman"/>
                            <w:color w:val="000080"/>
                            <w:sz w:val="20"/>
                            <w:szCs w:val="20"/>
                          </w:rPr>
                          <w:t>The Legislature finds that there is a public need for the construction or upgrade of facilities that are used predominantly for public purposes and that it is in the public’s interest to provide for the construction or upgrade of such facilities.</w:t>
                        </w:r>
                      </w:p>
                      <w:p w14:paraId="739698B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Legislature also finds that:</w:t>
                        </w:r>
                      </w:p>
                      <w:p w14:paraId="736CD8E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There is a </w:t>
                        </w:r>
                        <w:r w:rsidRPr="006E71FC">
                          <w:rPr>
                            <w:rFonts w:ascii="Verdana" w:eastAsia="Times New Roman" w:hAnsi="Verdana" w:cs="Times New Roman"/>
                            <w:color w:val="000080"/>
                            <w:sz w:val="20"/>
                            <w:szCs w:val="20"/>
                            <w:highlight w:val="yellow"/>
                          </w:rPr>
                          <w:t>public need</w:t>
                        </w:r>
                        <w:r w:rsidRPr="006E71FC">
                          <w:rPr>
                            <w:rFonts w:ascii="Verdana" w:eastAsia="Times New Roman" w:hAnsi="Verdana" w:cs="Times New Roman"/>
                            <w:color w:val="000080"/>
                            <w:sz w:val="20"/>
                            <w:szCs w:val="20"/>
                          </w:rPr>
                          <w:t xml:space="preserve"> for </w:t>
                        </w:r>
                        <w:r w:rsidRPr="006E71FC">
                          <w:rPr>
                            <w:rFonts w:ascii="Verdana" w:eastAsia="Times New Roman" w:hAnsi="Verdana" w:cs="Times New Roman"/>
                            <w:color w:val="000080"/>
                            <w:sz w:val="20"/>
                            <w:szCs w:val="20"/>
                            <w:highlight w:val="yellow"/>
                          </w:rPr>
                          <w:t>timely and cost-effective</w:t>
                        </w:r>
                        <w:r w:rsidRPr="006E71FC">
                          <w:rPr>
                            <w:rFonts w:ascii="Verdana" w:eastAsia="Times New Roman" w:hAnsi="Verdana" w:cs="Times New Roman"/>
                            <w:color w:val="000080"/>
                            <w:sz w:val="20"/>
                            <w:szCs w:val="20"/>
                          </w:rPr>
                          <w:t xml:space="preserve"> acquisition, design, construction, improvement, renovation, expansion, equipping, maintenance, operation, implementation, or installation of projects serving a public purpose, </w:t>
                        </w:r>
                        <w:r w:rsidRPr="006E71FC">
                          <w:rPr>
                            <w:rFonts w:ascii="Verdana" w:eastAsia="Times New Roman" w:hAnsi="Verdana" w:cs="Times New Roman"/>
                            <w:color w:val="000080"/>
                            <w:sz w:val="20"/>
                            <w:szCs w:val="20"/>
                            <w:highlight w:val="yellow"/>
                          </w:rPr>
                          <w:t>including educational facilities, transportation facilities, water or wastewater management facilities and infrastructure, technology infrastructure, roads, highways, bridges, and other public infrastructure and government facilities within the state which serve a public need and purpose, and that such public need may not be wholly satisfied by existing procurement methods.</w:t>
                        </w:r>
                      </w:p>
                      <w:p w14:paraId="31C8FF17"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There are inadequate resources to develop new educational facilities, transportation facilities, water or wastewater management facilities and infrastructure, technology infrastructure, roads, highways, bridges, and other public infrastructure and government facilities for the benefit of residents of this state, and </w:t>
                        </w:r>
                        <w:r w:rsidRPr="006E71FC">
                          <w:rPr>
                            <w:rFonts w:ascii="Verdana" w:eastAsia="Times New Roman" w:hAnsi="Verdana" w:cs="Times New Roman"/>
                            <w:color w:val="000080"/>
                            <w:sz w:val="20"/>
                            <w:szCs w:val="20"/>
                            <w:highlight w:val="yellow"/>
                          </w:rPr>
                          <w:t>that a public-private partnership has demonstrated that it can meet the needs by improving the schedule for delivery, lowering the cost, and providing other benefits to the public.</w:t>
                        </w:r>
                      </w:p>
                      <w:p w14:paraId="06EED69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There may be state and federal tax incentives that promote partnerships between public and private entities to develop and operate qualifying projects.</w:t>
                        </w:r>
                      </w:p>
                      <w:p w14:paraId="13AC4D4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highlight w:val="yellow"/>
                          </w:rPr>
                          <w:t>A procurement under this section serves the public purpose of this section if such procurement facilitates the timely development or operation of a qualifying project.</w:t>
                        </w:r>
                      </w:p>
                      <w:p w14:paraId="541C98F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It is the intent of the Legislature to encourage investment in the state by private entities; to facilitate various bond financing mechanisms, private capital, and other funding sources for the development and operation of qualifying projects, </w:t>
                        </w:r>
                        <w:r w:rsidRPr="006E71FC">
                          <w:rPr>
                            <w:rFonts w:ascii="Verdana" w:eastAsia="Times New Roman" w:hAnsi="Verdana" w:cs="Times New Roman"/>
                            <w:color w:val="000080"/>
                            <w:sz w:val="20"/>
                            <w:szCs w:val="20"/>
                            <w:highlight w:val="yellow"/>
                          </w:rPr>
                          <w:t>including expansion and acceleration of such financing to meet the public need; and to provide the greatest possible flexibility to public and private entities contracting for the provision of public services.</w:t>
                        </w:r>
                      </w:p>
                      <w:p w14:paraId="6826351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highlight w:val="yellow"/>
                          </w:rPr>
                          <w:t>PROCUREMENT PROCEDURES.—A responsible public entity may receive unsolicited proposals or may solicit proposals for a qualifying project and may thereafter enter into a comprehensive agreement with a private entity, or a consortium of private entities, for the building, upgrading, operating, ownership, or financing of facilities.</w:t>
                        </w:r>
                      </w:p>
                      <w:p w14:paraId="1CCEC37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establish a reasonable application fee for the submission of an unsolicited proposal under this section.</w:t>
                        </w:r>
                      </w:p>
                      <w:p w14:paraId="432E64FB"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private entity that submits an unsolicited proposal to a responsible public entity must concurrently pay an initial application fee, as determined by the responsible public entity. Payment must be made by cash, cashier’s check, or other noncancelable instrument. Personal checks may not be accepted.</w:t>
                        </w:r>
                      </w:p>
                      <w:p w14:paraId="65E4D177"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initial application fee does not cover the responsible public entity’s costs to evaluate the unsolicited proposal, the responsible public entity must request in writing the additional amounts required. The private entity must pay the requested additional amounts within 30 days after receipt of the notice. The responsible public entity may stop its review of the unsolicited proposal if the private entity fails to pay the additional amounts.</w:t>
                        </w:r>
                      </w:p>
                      <w:p w14:paraId="1644ABBB"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responsible public entity does not evaluate the unsolicited proposal, the responsible public entity must return the application fee.</w:t>
                        </w:r>
                      </w:p>
                      <w:p w14:paraId="637CF52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lastRenderedPageBreak/>
                          <w:t>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responsible public entity chooses to evaluate an unsolicited proposal involving architecture, engineering, or landscape architecture, it must ensure a professional review and evaluation of the design and construction proposed by the initial or subsequent proposers to assure material quality standards, interior space utilization, budget estimates, design and construction schedules, and sustainable design and construction standards consistent with public projects. Such review shall be performed by an architect, a landscape architect, or an engineer licensed in this state qualified to perform the review, and such professional shall advise the responsible public entity through completion of the design and construction of the project.</w:t>
                        </w:r>
                      </w:p>
                      <w:p w14:paraId="4BD6D428"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request a proposal from private entities for a qualifying project or, if the responsible public entity receives an unsolicited proposal for a qualifying project and the responsible public entity intends to enter into a comprehensive agreement for the project described in the unsolicited proposal, the responsible public entity shall publish notice in the Florida Administrative Register and a newspaper of general circulation at least once a week for 2 weeks stating that the responsible public entity has received a proposal and will accept other proposals for the same project. The timeframe within which the responsible public entity may accept other proposals shall be determined by the responsible public entity on a project-by-project basis based upon the complexity of the qualifying project and the public benefit to be gained by allowing a longer or shorter period of time within which other proposals may be received; however, the timeframe for allowing other proposals must be at least 21 days, but no more than 120 days, after the initial date of publication. If approved by a majority vote of the responsible public entity’s governing body, the responsible public entity may alter the timeframe for accepting proposals to more adequately suit the needs of the qualifying project. A copy of the notice must be mailed to each local government in the affected area.</w:t>
                        </w:r>
                      </w:p>
                      <w:p w14:paraId="0B95D255"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solicited qualifying project provided in paragraph (b) includes design work, the solicitation must include a design criteria package prepared by an architect, a landscape architect, or an engineer licensed in this state which is sufficient to allow private entities to prepare a bid or a response. The design criteria package must specify reasonably specific criteria for the qualifying project such as the legal description of the site, with survey information; interior space requirements; material quality standards; schematic layouts and conceptual design criteria for the qualifying project; cost or budget estimates; design and construction schedules; and site development and utility requirements. The licensed design professional who prepares the design criteria package shall be retained to serve the responsible public entity through completion of the design and construction of the project.</w:t>
                        </w:r>
                      </w:p>
                      <w:p w14:paraId="0DB2CB8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Before approving a comprehensive agreement, the responsible public entity must determine that the proposed project:</w:t>
                        </w:r>
                      </w:p>
                      <w:p w14:paraId="1F36491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Is in the public’s best interest.</w:t>
                        </w:r>
                      </w:p>
                      <w:p w14:paraId="009FC64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Is for a facility that is owned by the responsible public entity or for a facility for which ownership will be conveyed to the responsible public entity.</w:t>
                        </w:r>
                      </w:p>
                      <w:p w14:paraId="0C86B5D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Has adequate safeguards in place to ensure that additional costs or service disruptions are not imposed on the public in the event of material default or cancellation of the comprehensive agreement by the responsible public entity.</w:t>
                        </w:r>
                      </w:p>
                      <w:p w14:paraId="26F9B77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Has adequate safeguards in place to ensure that the responsible public entity or private entity </w:t>
                        </w:r>
                        <w:proofErr w:type="gramStart"/>
                        <w:r w:rsidRPr="006E71FC">
                          <w:rPr>
                            <w:rFonts w:ascii="Verdana" w:eastAsia="Times New Roman" w:hAnsi="Verdana" w:cs="Times New Roman"/>
                            <w:color w:val="000080"/>
                            <w:sz w:val="20"/>
                            <w:szCs w:val="20"/>
                          </w:rPr>
                          <w:t>has the opportunity to</w:t>
                        </w:r>
                        <w:proofErr w:type="gramEnd"/>
                        <w:r w:rsidRPr="006E71FC">
                          <w:rPr>
                            <w:rFonts w:ascii="Verdana" w:eastAsia="Times New Roman" w:hAnsi="Verdana" w:cs="Times New Roman"/>
                            <w:color w:val="000080"/>
                            <w:sz w:val="20"/>
                            <w:szCs w:val="20"/>
                          </w:rPr>
                          <w:t xml:space="preserve"> add capacity to the proposed project or other facilities serving similar predominantly public purposes.</w:t>
                        </w:r>
                      </w:p>
                      <w:p w14:paraId="5501345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lastRenderedPageBreak/>
                          <w:t>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Will be owned by the responsible public entity upon completion, expiration, or termination of the comprehensive agreement and upon payment of the amounts financed.</w:t>
                        </w:r>
                      </w:p>
                      <w:p w14:paraId="2A414AA7"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Before signing a comprehensive agreement, the responsible public entity must consider a reasonable finance plan that is consistent with subsection (9); the qualifying project cost; revenues by source; available financing; major assumptions; internal rate of return on private investments, if governmental funds are assumed in order to deliver a cost-feasible project; and a total cash-flow analysis beginning with the implementation of the project and extending for the term of the comprehensive agreement.</w:t>
                        </w:r>
                      </w:p>
                      <w:p w14:paraId="25D9B97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(f)</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In considering an unsolicited proposal, the responsible public entity may require from the private entity a technical study prepared by a nationally recognized expert with experience in preparing analysis for bond rating agencies. In evaluating the technical study, the responsible public entity may rely upon internal staff reports prepared by personnel familiar with the operation of similar facilities or the advice of external advisors or consultants who have relevant experience.</w:t>
                        </w:r>
                      </w:p>
                      <w:p w14:paraId="2CABF68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PROJECT APPROVAL </w:t>
                        </w:r>
                        <w:proofErr w:type="gramStart"/>
                        <w:r w:rsidRPr="006E71FC">
                          <w:rPr>
                            <w:rFonts w:ascii="Verdana" w:eastAsia="Times New Roman" w:hAnsi="Verdana" w:cs="Times New Roman"/>
                            <w:color w:val="000080"/>
                            <w:sz w:val="20"/>
                            <w:szCs w:val="20"/>
                          </w:rPr>
                          <w:t>REQUIREMENTS.—</w:t>
                        </w:r>
                        <w:proofErr w:type="gramEnd"/>
                        <w:r w:rsidRPr="006E71FC">
                          <w:rPr>
                            <w:rFonts w:ascii="Verdana" w:eastAsia="Times New Roman" w:hAnsi="Verdana" w:cs="Times New Roman"/>
                            <w:color w:val="000080"/>
                            <w:sz w:val="20"/>
                            <w:szCs w:val="20"/>
                          </w:rPr>
                          <w:t>An unsolicited proposal from a private entity for approval of a qualifying project must be accompanied by the following material and information, unless waived by the responsible public entity:</w:t>
                        </w:r>
                      </w:p>
                      <w:p w14:paraId="5C1E322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description of the qualifying project, including the conceptual design of the facilities or a conceptual plan for the provision of services, and a schedule for the initiation and completion of the qualifying project.</w:t>
                        </w:r>
                      </w:p>
                      <w:p w14:paraId="0D77AF9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description of the method by which the private entity proposes to secure the necessary property interests that are required for the qualifying project.</w:t>
                        </w:r>
                      </w:p>
                      <w:p w14:paraId="43989D2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description of the private entity’s general plans for financing the qualifying project, including the sources of the private entity’s funds and the identity of any dedicated revenue source or proposed debt or equity investment on behalf of the private entity.</w:t>
                        </w:r>
                      </w:p>
                      <w:p w14:paraId="50D2DFA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name and address of a person who may be contacted for additional information concerning the proposal.</w:t>
                        </w:r>
                      </w:p>
                      <w:p w14:paraId="44DBD44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proposed user fees, lease payments, or other service payments over the term of a comprehensive agreement, and the methodology for and circumstances that would allow changes to the user fees, lease payments, and other service payments over time.</w:t>
                        </w:r>
                      </w:p>
                      <w:p w14:paraId="406A846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(f)</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Additional material or information that the responsible public entity reasonably requests.</w:t>
                        </w:r>
                      </w:p>
                      <w:p w14:paraId="51652AA5" w14:textId="77777777" w:rsidR="006E71FC" w:rsidRPr="006E71FC" w:rsidRDefault="006E71FC" w:rsidP="006E71FC">
                        <w:pPr>
                          <w:spacing w:before="100" w:beforeAutospacing="1" w:after="100" w:afterAutospacing="1" w:line="240" w:lineRule="auto"/>
                          <w:rPr>
                            <w:rFonts w:ascii="Trebuchet MS" w:eastAsia="Times New Roman" w:hAnsi="Trebuchet MS" w:cs="Times New Roman"/>
                            <w:color w:val="000080"/>
                            <w:sz w:val="20"/>
                            <w:szCs w:val="20"/>
                          </w:rPr>
                        </w:pPr>
                        <w:r w:rsidRPr="006E71FC">
                          <w:rPr>
                            <w:rFonts w:ascii="Trebuchet MS" w:eastAsia="Times New Roman" w:hAnsi="Trebuchet MS" w:cs="Times New Roman"/>
                            <w:color w:val="000080"/>
                            <w:sz w:val="20"/>
                            <w:szCs w:val="20"/>
                          </w:rPr>
                          <w:t>Any pricing or financial terms included in an unsolicited proposal must be specific as to when the pricing or terms expire.</w:t>
                        </w:r>
                      </w:p>
                      <w:p w14:paraId="3121D8A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PROJECT QUALIFICATION AND </w:t>
                        </w:r>
                        <w:proofErr w:type="gramStart"/>
                        <w:r w:rsidRPr="006E71FC">
                          <w:rPr>
                            <w:rFonts w:ascii="Verdana" w:eastAsia="Times New Roman" w:hAnsi="Verdana" w:cs="Times New Roman"/>
                            <w:color w:val="000080"/>
                            <w:sz w:val="20"/>
                            <w:szCs w:val="20"/>
                          </w:rPr>
                          <w:t>PROCESS.—</w:t>
                        </w:r>
                        <w:proofErr w:type="gramEnd"/>
                      </w:p>
                      <w:p w14:paraId="7A80666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private entity, or the applicable party or parties of the private entity’s team, must meet the minimum standards contained in the responsible public entity’s guidelines for qualifying professional services and contracts for traditional procurement projects.</w:t>
                        </w:r>
                      </w:p>
                      <w:p w14:paraId="2AE5C6C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must:</w:t>
                        </w:r>
                      </w:p>
                      <w:p w14:paraId="4C06904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Ensure that provision is made for the private entity’s performance and payment of subcontractors, including, but not limited to, surety bonds, letters of credit, parent company guarantees, and lender and equity partner guarantees. For the components of the qualifying project which involve construction performance and payment, bonds are required and are subject to the recordation, notice, suit limitation, and other requirements of s. </w:t>
                        </w:r>
                        <w:hyperlink r:id="rId7" w:history="1">
                          <w:r w:rsidRPr="006E71FC">
                            <w:rPr>
                              <w:rFonts w:ascii="Verdana" w:eastAsia="Times New Roman" w:hAnsi="Verdana" w:cs="Times New Roman"/>
                              <w:color w:val="0000FF"/>
                              <w:sz w:val="20"/>
                              <w:szCs w:val="20"/>
                              <w:u w:val="single"/>
                            </w:rPr>
                            <w:t>255.05</w:t>
                          </w:r>
                        </w:hyperlink>
                        <w:r w:rsidRPr="006E71FC">
                          <w:rPr>
                            <w:rFonts w:ascii="Verdana" w:eastAsia="Times New Roman" w:hAnsi="Verdana" w:cs="Times New Roman"/>
                            <w:color w:val="000080"/>
                            <w:sz w:val="20"/>
                            <w:szCs w:val="20"/>
                          </w:rPr>
                          <w:t>.</w:t>
                        </w:r>
                      </w:p>
                      <w:p w14:paraId="32DA26D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lastRenderedPageBreak/>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Ensure the most efficient pricing of the security package that provides for the performance and payment of subcontractors.</w:t>
                        </w:r>
                      </w:p>
                      <w:p w14:paraId="7612177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Ensure that the comprehensive agreement addresses termination upon a material default of the comprehensive agreement.</w:t>
                        </w:r>
                      </w:p>
                      <w:p w14:paraId="2F1C3ED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After the public notification period has expired in the case of an unsolicited proposal, the responsible public entity shall rank the proposals received in order of preference. In ranking the proposals, the responsible public entity may consider factors that include, but are not limited to, professional qualifications, general business terms, innovative design techniques or cost-reduction terms, and finance plans. The responsible public entity may then begin negotiations for a comprehensive agreement with the highest-ranked firm. If the responsible public entity is not satisfied with the results of the negotiations, the responsible public entity may terminate negotiations with the proposer and negotiate with the second-ranked or subsequent-ranked firms, in the order consistent with this procedure. If only one proposal is received, the responsible public entity may negotiate in good faith, and if the responsible public entity is not satisfied with the results of the negotiations, the responsible public entity may terminate negotiations with the proposer. Notwithstanding this paragraph, the responsible public entity may reject all proposals at any point in the process until a contract with the proposer is executed.</w:t>
                        </w:r>
                      </w:p>
                      <w:p w14:paraId="69A3F14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shall perform an independent analysis of the proposed public-private partnership which demonstrates the cost-effectiveness and overall public benefit before the procurement process is initiated or before the contract is awarded.</w:t>
                        </w:r>
                      </w:p>
                      <w:p w14:paraId="516B566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approve the development or operation of an educational facility, a transportation facility, a water or wastewater management facility or related infrastructure, a technology infrastructure or other public infrastructure, or a government facility needed by the responsible public entity as a qualifying project, or the design or equipping of a qualifying project that is developed or operated, if:</w:t>
                        </w:r>
                      </w:p>
                      <w:p w14:paraId="1DDF918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There is a public need </w:t>
                        </w:r>
                        <w:proofErr w:type="gramStart"/>
                        <w:r w:rsidRPr="006E71FC">
                          <w:rPr>
                            <w:rFonts w:ascii="Verdana" w:eastAsia="Times New Roman" w:hAnsi="Verdana" w:cs="Times New Roman"/>
                            <w:color w:val="000080"/>
                            <w:sz w:val="20"/>
                            <w:szCs w:val="20"/>
                          </w:rPr>
                          <w:t>for</w:t>
                        </w:r>
                        <w:proofErr w:type="gramEnd"/>
                        <w:r w:rsidRPr="006E71FC">
                          <w:rPr>
                            <w:rFonts w:ascii="Verdana" w:eastAsia="Times New Roman" w:hAnsi="Verdana" w:cs="Times New Roman"/>
                            <w:color w:val="000080"/>
                            <w:sz w:val="20"/>
                            <w:szCs w:val="20"/>
                          </w:rPr>
                          <w:t xml:space="preserve"> or benefit derived from a project of the type that the private entity proposes as the qualifying project.</w:t>
                        </w:r>
                      </w:p>
                      <w:p w14:paraId="24DFB507"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estimated cost of the qualifying project is reasonable in relation to similar facilities.</w:t>
                        </w:r>
                      </w:p>
                      <w:p w14:paraId="3530891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private entity’s plans will result in the timely acquisition, design, construction, improvement, renovation, expansion, equipping, maintenance, or operation of the qualifying project.</w:t>
                        </w:r>
                      </w:p>
                      <w:p w14:paraId="2208E086"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(f)</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charge a reasonable fee to cover the costs of processing, reviewing, and evaluating the request, including, but not limited to, reasonable attorney fees and fees for financial and technical advisors or consultants and for other necessary advisors or consultants.</w:t>
                        </w:r>
                      </w:p>
                      <w:p w14:paraId="499A36F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(g)</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Upon approval of a qualifying project, the responsible public entity shall establish a date for the commencement of activities related to the qualifying project. The responsible public entity may extend the commencement date.</w:t>
                        </w:r>
                      </w:p>
                      <w:p w14:paraId="3C3C7E9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(h)</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Approval of a qualifying project by the responsible public entity is subject to entering into a comprehensive agreement with the private entity.</w:t>
                        </w:r>
                      </w:p>
                      <w:p w14:paraId="77D182A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(6)</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INTERIM </w:t>
                        </w:r>
                        <w:proofErr w:type="gramStart"/>
                        <w:r w:rsidRPr="006E71FC">
                          <w:rPr>
                            <w:rFonts w:ascii="Verdana" w:eastAsia="Times New Roman" w:hAnsi="Verdana" w:cs="Times New Roman"/>
                            <w:color w:val="000080"/>
                            <w:sz w:val="20"/>
                            <w:szCs w:val="20"/>
                          </w:rPr>
                          <w:t>AGREEMENT.—</w:t>
                        </w:r>
                        <w:proofErr w:type="gramEnd"/>
                        <w:r w:rsidRPr="006E71FC">
                          <w:rPr>
                            <w:rFonts w:ascii="Verdana" w:eastAsia="Times New Roman" w:hAnsi="Verdana" w:cs="Times New Roman"/>
                            <w:color w:val="000080"/>
                            <w:sz w:val="20"/>
                            <w:szCs w:val="20"/>
                          </w:rPr>
                          <w:t xml:space="preserve">Before or in connection with the negotiation of a comprehensive agreement, the responsible public entity may enter into an interim agreement with the private entity proposing the development or operation of the qualifying project. An interim agreement does not obligate the responsible public entity to enter into a comprehensive agreement. The interim agreement is discretionary with the parties and is not required on a qualifying project for which the parties may proceed </w:t>
                        </w:r>
                        <w:r w:rsidRPr="006E71FC">
                          <w:rPr>
                            <w:rFonts w:ascii="Verdana" w:eastAsia="Times New Roman" w:hAnsi="Verdana" w:cs="Times New Roman"/>
                            <w:color w:val="000080"/>
                            <w:sz w:val="20"/>
                            <w:szCs w:val="20"/>
                          </w:rPr>
                          <w:lastRenderedPageBreak/>
                          <w:t>directly to a comprehensive agreement without the need for an interim agreement. An interim agreement must be limited to provisions that:</w:t>
                        </w:r>
                      </w:p>
                      <w:p w14:paraId="3B8D4C88"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Authorize the private entity to commence activities for which it may be compensated related to the proposed qualifying project, including, but not limited to, project planning and development, design, environmental analysis and mitigation, survey, other activities concerning any part of the proposed qualifying project, and ascertaining the availability of financing for the proposed facility or facilities.</w:t>
                        </w:r>
                      </w:p>
                      <w:p w14:paraId="36BDC29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Establish the process and timing of the negotiation of the comprehensive agreement.</w:t>
                        </w:r>
                      </w:p>
                      <w:p w14:paraId="28DE014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Contain such other provisions related to an aspect of the development or operation of a qualifying project that the responsible public entity and the private entity deem appropriate.</w:t>
                        </w:r>
                      </w:p>
                      <w:p w14:paraId="67E2E683"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(7)</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COMPREHENSIVE </w:t>
                        </w:r>
                        <w:proofErr w:type="gramStart"/>
                        <w:r w:rsidRPr="006E71FC">
                          <w:rPr>
                            <w:rFonts w:ascii="Verdana" w:eastAsia="Times New Roman" w:hAnsi="Verdana" w:cs="Times New Roman"/>
                            <w:color w:val="000080"/>
                            <w:sz w:val="20"/>
                            <w:szCs w:val="20"/>
                          </w:rPr>
                          <w:t>AGREEMENT.—</w:t>
                        </w:r>
                        <w:proofErr w:type="gramEnd"/>
                      </w:p>
                      <w:p w14:paraId="06B22FD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Before developing or operating the qualifying project, the private entity must enter into a comprehensive agreement with the responsible public entity. The comprehensive agreement must provide for:</w:t>
                        </w:r>
                      </w:p>
                      <w:p w14:paraId="7CE3304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Delivery of performance and payment bonds, letters of credit, or other security acceptable to the responsible public entity in connection with the development or operation of the qualifying project in the form and amount satisfactory to the responsible public entity. For the components of the qualifying project which involve construction, the form and amount of the bonds must comply with s. </w:t>
                        </w:r>
                        <w:hyperlink r:id="rId8" w:history="1">
                          <w:r w:rsidRPr="006E71FC">
                            <w:rPr>
                              <w:rFonts w:ascii="Verdana" w:eastAsia="Times New Roman" w:hAnsi="Verdana" w:cs="Times New Roman"/>
                              <w:color w:val="0000FF"/>
                              <w:sz w:val="20"/>
                              <w:szCs w:val="20"/>
                              <w:u w:val="single"/>
                            </w:rPr>
                            <w:t>255.05</w:t>
                          </w:r>
                        </w:hyperlink>
                        <w:r w:rsidRPr="006E71FC">
                          <w:rPr>
                            <w:rFonts w:ascii="Verdana" w:eastAsia="Times New Roman" w:hAnsi="Verdana" w:cs="Times New Roman"/>
                            <w:color w:val="000080"/>
                            <w:sz w:val="20"/>
                            <w:szCs w:val="20"/>
                          </w:rPr>
                          <w:t>.</w:t>
                        </w:r>
                      </w:p>
                      <w:p w14:paraId="32C05C27"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Review of the design for the qualifying project by the responsible public entity and, if the design conforms to standards acceptable to the responsible public entity, the approval of the responsible public entity. This subparagraph does not require the private entity to complete the design of the qualifying project before the execution of the comprehensive agreement.</w:t>
                        </w:r>
                      </w:p>
                      <w:p w14:paraId="189C12EC"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Inspection of the qualifying project by the responsible public entity to ensure that the private entity’s activities are acceptable to the responsible public entity in accordance with the comprehensive agreement.</w:t>
                        </w:r>
                      </w:p>
                      <w:p w14:paraId="368E978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Maintenance of a policy of public liability insurance, a copy of which must be filed with the responsible public entity and accompanied by proofs of coverage, or self-insurance, each in the form and amount satisfactory to the responsible public entity and reasonably sufficient to ensure coverage of tort liability to the public and employees and to enable the continued operation of the qualifying project.</w:t>
                        </w:r>
                      </w:p>
                      <w:p w14:paraId="17585EA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Monitoring by the responsible public entity of the maintenance practices to be performed by the private entity to ensure that the qualifying project is properly maintained.</w:t>
                        </w:r>
                      </w:p>
                      <w:p w14:paraId="343303A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6.</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Periodic filing by the private entity of the appropriate financial statements that pertain to the qualifying project.</w:t>
                        </w:r>
                      </w:p>
                      <w:p w14:paraId="241F19B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7.</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Procedures that govern the rights and responsibilities of the responsible public entity and the private entity in the course of the construction and operation of the qualifying project and in the event of the termination of the comprehensive agreement or a material default by the private entity. The procedures must include conditions that govern the assumption of the duties and responsibilities of the private entity by an entity that funded, in whole or part, the qualifying project or by the responsible public entity, and must provide for the transfer or purchase of property or other interests of the private entity by the responsible public entity.</w:t>
                        </w:r>
                      </w:p>
                      <w:p w14:paraId="582A86B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8.</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Fees, lease payments, or service payments. In negotiating user fees, the fees must be the same for persons using the facility under like conditions and must not materially discourage use of the qualifying project. The execution of the comprehensive agreement </w:t>
                        </w:r>
                        <w:r w:rsidRPr="006E71FC">
                          <w:rPr>
                            <w:rFonts w:ascii="Verdana" w:eastAsia="Times New Roman" w:hAnsi="Verdana" w:cs="Times New Roman"/>
                            <w:color w:val="000080"/>
                            <w:sz w:val="20"/>
                            <w:szCs w:val="20"/>
                          </w:rPr>
                          <w:lastRenderedPageBreak/>
                          <w:t>or a subsequent amendment is conclusive evidence that the fees, lease payments, or service payments provided for in the comprehensive agreement comply with this section. Fees or lease payments established in the comprehensive agreement as a source of revenue may be in addition to, or in lieu of, service payments.</w:t>
                        </w:r>
                      </w:p>
                      <w:p w14:paraId="727E7F9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9.</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Duties of the private entity, including the terms and conditions that the responsible public entity determines serve the public purpose of this section.</w:t>
                        </w:r>
                      </w:p>
                      <w:p w14:paraId="79F148F3"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comprehensive agreement may include:</w:t>
                        </w:r>
                      </w:p>
                      <w:p w14:paraId="3888799B"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An agreement by the responsible public entity to make grants or loans to the private entity from amounts received from the federal, state, or local government or an agency or instrumentality thereof.</w:t>
                        </w:r>
                      </w:p>
                      <w:p w14:paraId="66ADF55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provision under which each entity agrees to provide notice of default and cure rights for the benefit of the other entity, including, but not limited to, a provision regarding unavoidable delays.</w:t>
                        </w:r>
                      </w:p>
                      <w:p w14:paraId="3AAAEA9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provision that terminates the authority and duties of the private entity under this section and dedicates the qualifying project to the responsible public entity or, if the qualifying project was initially dedicated by an affected local jurisdiction, to the affected local jurisdiction for public use.</w:t>
                        </w:r>
                      </w:p>
                      <w:p w14:paraId="49F79693"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(8)</w:t>
                        </w:r>
                        <w:r w:rsidRPr="006E71FC">
                          <w:rPr>
                            <w:rFonts w:ascii="Verdana" w:eastAsia="Times New Roman" w:hAnsi="Verdana" w:cs="Times New Roman"/>
                            <w:color w:val="000080"/>
                            <w:sz w:val="20"/>
                            <w:szCs w:val="20"/>
                          </w:rPr>
                          <w:t> </w:t>
                        </w:r>
                        <w:proofErr w:type="gramStart"/>
                        <w:r w:rsidRPr="006E71FC">
                          <w:rPr>
                            <w:rFonts w:ascii="Verdana" w:eastAsia="Times New Roman" w:hAnsi="Verdana" w:cs="Times New Roman"/>
                            <w:color w:val="000080"/>
                            <w:sz w:val="20"/>
                            <w:szCs w:val="20"/>
                          </w:rPr>
                          <w:t>FEES.—</w:t>
                        </w:r>
                        <w:proofErr w:type="gramEnd"/>
                        <w:r w:rsidRPr="006E71FC">
                          <w:rPr>
                            <w:rFonts w:ascii="Verdana" w:eastAsia="Times New Roman" w:hAnsi="Verdana" w:cs="Times New Roman"/>
                            <w:color w:val="000080"/>
                            <w:sz w:val="20"/>
                            <w:szCs w:val="20"/>
                          </w:rPr>
                          <w:t>A comprehensive agreement entered into pursuant to this section may authorize the private entity to impose fees to members of the public for the use of the facility. The following provisions apply to the comprehensive agreement:</w:t>
                        </w:r>
                      </w:p>
                      <w:p w14:paraId="3A5863D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develop new facilities or increase capacity in existing facilities through a comprehensive agreement with a private entity.</w:t>
                        </w:r>
                      </w:p>
                      <w:p w14:paraId="6BF9F74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comprehensive agreement must ensure that the facility is properly operated, maintained, or improved in accordance with standards set forth in the comprehensive agreement.</w:t>
                        </w:r>
                      </w:p>
                      <w:p w14:paraId="6F9155E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lease existing fee-for-use facilities through a comprehensive agreement.</w:t>
                        </w:r>
                      </w:p>
                      <w:p w14:paraId="3598A455"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Any revenues must be authorized by and applied in the manner set forth in the comprehensive agreement.</w:t>
                        </w:r>
                      </w:p>
                      <w:p w14:paraId="3BE513A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negotiated portion of revenues from fee-generating uses may be returned to the responsible public entity over the life of the comprehensive agreement.</w:t>
                        </w:r>
                      </w:p>
                      <w:p w14:paraId="5E2F4E5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(9)</w:t>
                        </w:r>
                        <w:r w:rsidRPr="006E71FC">
                          <w:rPr>
                            <w:rFonts w:ascii="Verdana" w:eastAsia="Times New Roman" w:hAnsi="Verdana" w:cs="Times New Roman"/>
                            <w:color w:val="000080"/>
                            <w:sz w:val="20"/>
                            <w:szCs w:val="20"/>
                          </w:rPr>
                          <w:t> </w:t>
                        </w:r>
                        <w:proofErr w:type="gramStart"/>
                        <w:r w:rsidRPr="006E71FC">
                          <w:rPr>
                            <w:rFonts w:ascii="Verdana" w:eastAsia="Times New Roman" w:hAnsi="Verdana" w:cs="Times New Roman"/>
                            <w:color w:val="000080"/>
                            <w:sz w:val="20"/>
                            <w:szCs w:val="20"/>
                          </w:rPr>
                          <w:t>FINANCING.—</w:t>
                        </w:r>
                        <w:proofErr w:type="gramEnd"/>
                      </w:p>
                      <w:p w14:paraId="57DD890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private entity may enter into a private-source financing agreement between financing sources and the private entity. A financing agreement and any liens on the property or facility must be paid in full at the applicable closing that transfers ownership or operation of the facility to the responsible public entity at the conclusion of the term of the comprehensive agreement.</w:t>
                        </w:r>
                      </w:p>
                      <w:p w14:paraId="68DE52B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responsible public entity may lend funds to private entities that construct projects containing facilities that are approved under this section.</w:t>
                        </w:r>
                      </w:p>
                      <w:p w14:paraId="3419194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 responsible public entity may use innovative finance techniques associated with a public-private partnership under this section, including, but not limited to, federal loans as provided in Titles 23 and 49 C.F.R., commercial bank loans, and hedges against inflation from commercial banks or other private sources. In addition, the responsible public entity may provide its own capital or operating budget to support a qualifying project. The budget may be from any legally permissible funding sources of the responsible public entity, including the proceeds of debt issuances. A responsible public entity may use the model financing agreement provided in s. </w:t>
                        </w:r>
                        <w:hyperlink r:id="rId9" w:history="1">
                          <w:r w:rsidRPr="006E71FC">
                            <w:rPr>
                              <w:rFonts w:ascii="Verdana" w:eastAsia="Times New Roman" w:hAnsi="Verdana" w:cs="Times New Roman"/>
                              <w:color w:val="0000FF"/>
                              <w:sz w:val="20"/>
                              <w:szCs w:val="20"/>
                              <w:u w:val="single"/>
                            </w:rPr>
                            <w:t>489.145</w:t>
                          </w:r>
                        </w:hyperlink>
                        <w:r w:rsidRPr="006E71FC">
                          <w:rPr>
                            <w:rFonts w:ascii="Verdana" w:eastAsia="Times New Roman" w:hAnsi="Verdana" w:cs="Times New Roman"/>
                            <w:color w:val="000080"/>
                            <w:sz w:val="20"/>
                            <w:szCs w:val="20"/>
                          </w:rPr>
                          <w:t xml:space="preserve">(6) for its financing of a facility owned by a responsible public entity. A financing agreement may not require the responsible public entity to indemnify the financing source, subject the responsible public entity’s facility to liens in violation of s. </w:t>
                        </w:r>
                        <w:hyperlink r:id="rId10" w:history="1">
                          <w:r w:rsidRPr="006E71FC">
                            <w:rPr>
                              <w:rFonts w:ascii="Verdana" w:eastAsia="Times New Roman" w:hAnsi="Verdana" w:cs="Times New Roman"/>
                              <w:color w:val="0000FF"/>
                              <w:sz w:val="20"/>
                              <w:szCs w:val="20"/>
                              <w:u w:val="single"/>
                            </w:rPr>
                            <w:t>11.066</w:t>
                          </w:r>
                        </w:hyperlink>
                        <w:r w:rsidRPr="006E71FC">
                          <w:rPr>
                            <w:rFonts w:ascii="Verdana" w:eastAsia="Times New Roman" w:hAnsi="Verdana" w:cs="Times New Roman"/>
                            <w:color w:val="000080"/>
                            <w:sz w:val="20"/>
                            <w:szCs w:val="20"/>
                          </w:rPr>
                          <w:t xml:space="preserve">(5), or secure financing </w:t>
                        </w:r>
                        <w:r w:rsidRPr="006E71FC">
                          <w:rPr>
                            <w:rFonts w:ascii="Verdana" w:eastAsia="Times New Roman" w:hAnsi="Verdana" w:cs="Times New Roman"/>
                            <w:color w:val="000080"/>
                            <w:sz w:val="20"/>
                            <w:szCs w:val="20"/>
                          </w:rPr>
                          <w:lastRenderedPageBreak/>
                          <w:t>of the responsible public entity by a mortgage on, or security interest in, the real or tangible personal property of the responsible public entity in a manner that could result in the loss of the fee ownership of the property by the responsible public entity, and any such provision is void.</w:t>
                        </w:r>
                      </w:p>
                      <w:p w14:paraId="41EB222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(10)</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POWERS AND DUTIES OF THE PRIVATE </w:t>
                        </w:r>
                        <w:proofErr w:type="gramStart"/>
                        <w:r w:rsidRPr="006E71FC">
                          <w:rPr>
                            <w:rFonts w:ascii="Verdana" w:eastAsia="Times New Roman" w:hAnsi="Verdana" w:cs="Times New Roman"/>
                            <w:color w:val="000080"/>
                            <w:sz w:val="20"/>
                            <w:szCs w:val="20"/>
                          </w:rPr>
                          <w:t>ENTITY.—</w:t>
                        </w:r>
                        <w:proofErr w:type="gramEnd"/>
                      </w:p>
                      <w:p w14:paraId="748A84A3"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private entity shall:</w:t>
                        </w:r>
                      </w:p>
                      <w:p w14:paraId="010F6A3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Develop or operate the qualifying project in a manner that is acceptable to the responsible public entity in accordance with the provisions of the comprehensive agreement.</w:t>
                        </w:r>
                      </w:p>
                      <w:p w14:paraId="4769686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proofErr w:type="gramStart"/>
                        <w:r w:rsidRPr="006E71FC">
                          <w:rPr>
                            <w:rFonts w:ascii="Verdana" w:eastAsia="Times New Roman" w:hAnsi="Verdana" w:cs="Times New Roman"/>
                            <w:color w:val="000080"/>
                            <w:sz w:val="20"/>
                            <w:szCs w:val="20"/>
                          </w:rPr>
                          <w:t>Maintain, or</w:t>
                        </w:r>
                        <w:proofErr w:type="gramEnd"/>
                        <w:r w:rsidRPr="006E71FC">
                          <w:rPr>
                            <w:rFonts w:ascii="Verdana" w:eastAsia="Times New Roman" w:hAnsi="Verdana" w:cs="Times New Roman"/>
                            <w:color w:val="000080"/>
                            <w:sz w:val="20"/>
                            <w:szCs w:val="20"/>
                          </w:rPr>
                          <w:t xml:space="preserve"> provide by contract for the maintenance or improvement of, the qualifying project if required by the comprehensive agreement.</w:t>
                        </w:r>
                      </w:p>
                      <w:p w14:paraId="31D76E18"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Cooperate with the responsible public entity in making best efforts to establish interconnection between the qualifying project and any other facility or infrastructure as requested by the responsible public entity in accordance with the provisions of the comprehensive agreement.</w:t>
                        </w:r>
                      </w:p>
                      <w:p w14:paraId="30A76DE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4.</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Comply with the comprehensive agreement and any lease or service contract.</w:t>
                        </w:r>
                      </w:p>
                      <w:p w14:paraId="222F1E7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Each private facility that is constructed pursuant to this section must comply with the requirements of federal, state, and local laws; state, regional, and local comprehensive plans; the responsible public entity’s rules, procedures, and standards for facilities; and such other conditions that the responsible public entity determines to be in the public’s best interest and that are included in the comprehensive agreement.</w:t>
                        </w:r>
                      </w:p>
                      <w:p w14:paraId="04AF966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 responsible public entity may provide services to the private entity. An agreement for maintenance and other services </w:t>
                        </w:r>
                        <w:proofErr w:type="gramStart"/>
                        <w:r w:rsidRPr="006E71FC">
                          <w:rPr>
                            <w:rFonts w:ascii="Verdana" w:eastAsia="Times New Roman" w:hAnsi="Verdana" w:cs="Times New Roman"/>
                            <w:color w:val="000080"/>
                            <w:sz w:val="20"/>
                            <w:szCs w:val="20"/>
                          </w:rPr>
                          <w:t>entered into</w:t>
                        </w:r>
                        <w:proofErr w:type="gramEnd"/>
                        <w:r w:rsidRPr="006E71FC">
                          <w:rPr>
                            <w:rFonts w:ascii="Verdana" w:eastAsia="Times New Roman" w:hAnsi="Verdana" w:cs="Times New Roman"/>
                            <w:color w:val="000080"/>
                            <w:sz w:val="20"/>
                            <w:szCs w:val="20"/>
                          </w:rPr>
                          <w:t xml:space="preserve"> pursuant to this section must provide for full reimbursement for services rendered for qualifying projects.</w:t>
                        </w:r>
                      </w:p>
                      <w:p w14:paraId="5F293CC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private entity of a qualifying project may provide additional services for the qualifying project to the public or to other private entities if the provision of additional services does not impair the private entity’s ability to meet its commitments to the responsible public entity pursuant to the comprehensive agreement.</w:t>
                        </w:r>
                      </w:p>
                      <w:p w14:paraId="4C0DEFA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EXPIRATION OR TERMINATION OF </w:t>
                        </w:r>
                        <w:proofErr w:type="gramStart"/>
                        <w:r w:rsidRPr="006E71FC">
                          <w:rPr>
                            <w:rFonts w:ascii="Verdana" w:eastAsia="Times New Roman" w:hAnsi="Verdana" w:cs="Times New Roman"/>
                            <w:color w:val="000080"/>
                            <w:sz w:val="20"/>
                            <w:szCs w:val="20"/>
                          </w:rPr>
                          <w:t>AGREEMENTS.—</w:t>
                        </w:r>
                        <w:proofErr w:type="gramEnd"/>
                        <w:r w:rsidRPr="006E71FC">
                          <w:rPr>
                            <w:rFonts w:ascii="Verdana" w:eastAsia="Times New Roman" w:hAnsi="Verdana" w:cs="Times New Roman"/>
                            <w:color w:val="000080"/>
                            <w:sz w:val="20"/>
                            <w:szCs w:val="20"/>
                          </w:rPr>
                          <w:t>Upon the expiration or termination of a comprehensive agreement, the responsible public entity may use revenues from the qualifying project to pay current operation and maintenance costs of the qualifying project. If the private entity materially defaults under the comprehensive agreement, the compensation that is otherwise due to the private entity is payable to satisfy all financial obligations to investors and lenders on the qualifying project in the same way that is provided in the comprehensive agreement or any other agreement involving the qualifying project, if the costs of operating and maintaining the qualifying project are paid in the normal course. Revenues in excess of the costs for operation and maintenance costs may be paid to the investors and lenders to satisfy payment obligations under their respective agreements. A responsible public entity may terminate with cause and without prejudice a comprehensive agreement and may exercise any other rights or remedies that may be available to it in accordance with the provisions of the comprehensive agreement. The full faith and credit of the responsible public entity may not be pledged to secure the financing of the private entity. The assumption of the development or operation of the qualifying project does not obligate the responsible public entity to pay any obligation of the private entity from sources other than revenues from the qualifying project unless stated otherwise in the comprehensive agreement.</w:t>
                        </w:r>
                      </w:p>
                      <w:p w14:paraId="4DAF53C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SOVEREIGN IMMUNITY.—This section does not waive the sovereign immunity of a responsible public entity, an affected local jurisdiction, or an officer or employee thereof with respect to participation in, or approval of, any part of a qualifying project or its operation, including, but not limited to, interconnection of the qualifying project with any </w:t>
                        </w:r>
                        <w:r w:rsidRPr="006E71FC">
                          <w:rPr>
                            <w:rFonts w:ascii="Verdana" w:eastAsia="Times New Roman" w:hAnsi="Verdana" w:cs="Times New Roman"/>
                            <w:color w:val="000080"/>
                            <w:sz w:val="20"/>
                            <w:szCs w:val="20"/>
                          </w:rPr>
                          <w:lastRenderedPageBreak/>
                          <w:t>other infrastructure or project. A county or municipality in which a qualifying project is located possesses sovereign immunity with respect to the project, including, but not limited to, its design, construction, and operation.</w:t>
                        </w:r>
                      </w:p>
                      <w:p w14:paraId="5A2CB92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DEPARTMENT OF MANAGEMENT </w:t>
                        </w:r>
                        <w:proofErr w:type="gramStart"/>
                        <w:r w:rsidRPr="006E71FC">
                          <w:rPr>
                            <w:rFonts w:ascii="Verdana" w:eastAsia="Times New Roman" w:hAnsi="Verdana" w:cs="Times New Roman"/>
                            <w:color w:val="000080"/>
                            <w:sz w:val="20"/>
                            <w:szCs w:val="20"/>
                          </w:rPr>
                          <w:t>SERVICES.—</w:t>
                        </w:r>
                        <w:proofErr w:type="gramEnd"/>
                      </w:p>
                      <w:p w14:paraId="00C8D7A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responsible public entity may provide a copy of its comprehensive agreement to the Department of Management Services. A responsible public entity must redact any confidential or exempt information from the copy of the comprehensive agreement before providing it to the Department of Management Services.</w:t>
                        </w:r>
                      </w:p>
                      <w:p w14:paraId="3406EA0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The Department of Management Services may accept and maintain copies of comprehensive agreements received from responsible public entities for the purpose of sharing comprehensive agreements with other responsible public entities.</w:t>
                        </w:r>
                      </w:p>
                      <w:p w14:paraId="084C0042"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This subsection does not require a responsible public entity to provide a copy of its comprehensive agreement to the Department of Management Services.</w:t>
                        </w:r>
                      </w:p>
                      <w:p w14:paraId="66B2A56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(14)</w:t>
                        </w:r>
                        <w:r w:rsidRPr="006E71FC">
                          <w:rPr>
                            <w:rFonts w:ascii="Verdana" w:eastAsia="Times New Roman" w:hAnsi="Verdana" w:cs="Times New Roman"/>
                            <w:color w:val="000080"/>
                            <w:sz w:val="20"/>
                            <w:szCs w:val="20"/>
                          </w:rPr>
                          <w:t> </w:t>
                        </w:r>
                        <w:proofErr w:type="gramStart"/>
                        <w:r w:rsidRPr="006E71FC">
                          <w:rPr>
                            <w:rFonts w:ascii="Verdana" w:eastAsia="Times New Roman" w:hAnsi="Verdana" w:cs="Times New Roman"/>
                            <w:color w:val="000080"/>
                            <w:sz w:val="20"/>
                            <w:szCs w:val="20"/>
                          </w:rPr>
                          <w:t>CONSTRUCTION.—</w:t>
                        </w:r>
                        <w:proofErr w:type="gramEnd"/>
                      </w:p>
                      <w:p w14:paraId="6E8126B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This section shall be liberally construed to effectuate the purposes of this section.</w:t>
                        </w:r>
                      </w:p>
                      <w:p w14:paraId="6BB63F99"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This section shall be construed as cumulative and supplemental to any other authority or power vested in or exercised by the governing body of a county, municipality, special district, or municipal hospital or health care system including those contained in acts of the Legislature.</w:t>
                        </w:r>
                      </w:p>
                      <w:p w14:paraId="49B2AE9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This section does not affect any agreement or existing relationship with a supporting organization involving such governing body or system in effect as of January 1, 2013.</w:t>
                        </w:r>
                      </w:p>
                      <w:p w14:paraId="66E1BBB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This section provides an alternative method and does not limit a county, municipality, special district, or other political subdivision of the state in the procurement or operation of a qualifying project pursuant to other statutory or constitutional authority.</w:t>
                        </w:r>
                      </w:p>
                      <w:p w14:paraId="7CEC216A"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Except as otherwise provided in this section, this section does not amend existing laws by granting additional powers to, or further restricting, a local governmental entity from regulating and entering into cooperative arrangements with the private sector for the planning, construction, or operation of a facility.</w:t>
                        </w:r>
                      </w:p>
                      <w:p w14:paraId="09CAE4F5"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(f)</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This section does not waive any requirement of s. </w:t>
                        </w:r>
                        <w:hyperlink r:id="rId11" w:history="1">
                          <w:r w:rsidRPr="006E71FC">
                            <w:rPr>
                              <w:rFonts w:ascii="Verdana" w:eastAsia="Times New Roman" w:hAnsi="Verdana" w:cs="Times New Roman"/>
                              <w:color w:val="0000FF"/>
                              <w:sz w:val="20"/>
                              <w:szCs w:val="20"/>
                              <w:u w:val="single"/>
                            </w:rPr>
                            <w:t>287.055</w:t>
                          </w:r>
                        </w:hyperlink>
                        <w:r w:rsidRPr="006E71FC">
                          <w:rPr>
                            <w:rFonts w:ascii="Verdana" w:eastAsia="Times New Roman" w:hAnsi="Verdana" w:cs="Times New Roman"/>
                            <w:color w:val="000080"/>
                            <w:sz w:val="20"/>
                            <w:szCs w:val="20"/>
                          </w:rPr>
                          <w:t>.</w:t>
                        </w:r>
                      </w:p>
                      <w:p w14:paraId="47BE51D0"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(15)</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PUBLIC RECORDS AND PUBLIC MEETINGS </w:t>
                        </w:r>
                        <w:proofErr w:type="gramStart"/>
                        <w:r w:rsidRPr="006E71FC">
                          <w:rPr>
                            <w:rFonts w:ascii="Verdana" w:eastAsia="Times New Roman" w:hAnsi="Verdana" w:cs="Times New Roman"/>
                            <w:color w:val="000080"/>
                            <w:sz w:val="20"/>
                            <w:szCs w:val="20"/>
                          </w:rPr>
                          <w:t>EXEMPTIONS.—</w:t>
                        </w:r>
                        <w:proofErr w:type="gramEnd"/>
                      </w:p>
                      <w:p w14:paraId="6B5564F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As used in this subsection, the term “competitive solicitation” has the same meaning as provided in s. </w:t>
                        </w:r>
                        <w:hyperlink r:id="rId12" w:history="1">
                          <w:r w:rsidRPr="006E71FC">
                            <w:rPr>
                              <w:rFonts w:ascii="Verdana" w:eastAsia="Times New Roman" w:hAnsi="Verdana" w:cs="Times New Roman"/>
                              <w:color w:val="0000FF"/>
                              <w:sz w:val="20"/>
                              <w:szCs w:val="20"/>
                              <w:u w:val="single"/>
                            </w:rPr>
                            <w:t>119.071</w:t>
                          </w:r>
                        </w:hyperlink>
                        <w:r w:rsidRPr="006E71FC">
                          <w:rPr>
                            <w:rFonts w:ascii="Verdana" w:eastAsia="Times New Roman" w:hAnsi="Verdana" w:cs="Times New Roman"/>
                            <w:color w:val="000080"/>
                            <w:sz w:val="20"/>
                            <w:szCs w:val="20"/>
                          </w:rPr>
                          <w:t>(1).</w:t>
                        </w:r>
                      </w:p>
                      <w:p w14:paraId="4610223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highlight w:val="yellow"/>
                          </w:rPr>
                          <w:t xml:space="preserve">An unsolicited proposal received by a responsible public entity is exempt from s. </w:t>
                        </w:r>
                        <w:hyperlink r:id="rId13" w:history="1">
                          <w:r w:rsidRPr="006E71FC">
                            <w:rPr>
                              <w:rFonts w:ascii="Verdana" w:eastAsia="Times New Roman" w:hAnsi="Verdana" w:cs="Times New Roman"/>
                              <w:color w:val="0000FF"/>
                              <w:sz w:val="20"/>
                              <w:szCs w:val="20"/>
                              <w:highlight w:val="yellow"/>
                              <w:u w:val="single"/>
                            </w:rPr>
                            <w:t>119.07</w:t>
                          </w:r>
                        </w:hyperlink>
                        <w:r w:rsidRPr="006E71FC">
                          <w:rPr>
                            <w:rFonts w:ascii="Verdana" w:eastAsia="Times New Roman" w:hAnsi="Verdana" w:cs="Times New Roman"/>
                            <w:color w:val="000080"/>
                            <w:sz w:val="20"/>
                            <w:szCs w:val="20"/>
                            <w:highlight w:val="yellow"/>
                          </w:rPr>
                          <w:t>(1) and s. 24(a), Art. I of the State Constitution until such time as the responsible public entity provides notice of an intended decision for a qualifying project.</w:t>
                        </w:r>
                      </w:p>
                      <w:p w14:paraId="73FE6063"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responsible public entity rejects all proposals submitted pursuant to a competitive solicitation for a qualifying project and such entity concurrently provides notice of its intent to seek additional proposals for such project, the unsolicited proposal remains exempt until the responsible public entity provides notice of an intended decision concerning the reissued competitive solicitation for the qualifying project or until the responsible public entity withdraws the reissued competitive solicitation for such project.</w:t>
                        </w:r>
                      </w:p>
                      <w:p w14:paraId="00C4BB31"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3.</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An unsolicited proposal is exempt for no longer than 90 days after the initial notice by the responsible public entity rejecting all proposals.</w:t>
                        </w:r>
                      </w:p>
                      <w:p w14:paraId="164DF8C8"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If the responsible public entity does not issue a competitive solicitation for a qualifying project, the unsolicited proposal ceases to be exempt 180 days after receipt of the unsolicited proposal by such entity.</w:t>
                        </w:r>
                      </w:p>
                      <w:p w14:paraId="484DCA0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lastRenderedPageBreak/>
                          <w:t>(d)1.</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Any portion of a meeting of a responsible public entity during which an unsolicited proposal that is exempt is discussed is exempt from s. </w:t>
                        </w:r>
                        <w:hyperlink r:id="rId14" w:history="1">
                          <w:r w:rsidRPr="006E71FC">
                            <w:rPr>
                              <w:rFonts w:ascii="Verdana" w:eastAsia="Times New Roman" w:hAnsi="Verdana" w:cs="Times New Roman"/>
                              <w:color w:val="0000FF"/>
                              <w:sz w:val="20"/>
                              <w:szCs w:val="20"/>
                              <w:u w:val="single"/>
                            </w:rPr>
                            <w:t>286.011</w:t>
                          </w:r>
                        </w:hyperlink>
                        <w:r w:rsidRPr="006E71FC">
                          <w:rPr>
                            <w:rFonts w:ascii="Verdana" w:eastAsia="Times New Roman" w:hAnsi="Verdana" w:cs="Times New Roman"/>
                            <w:color w:val="000080"/>
                            <w:sz w:val="20"/>
                            <w:szCs w:val="20"/>
                          </w:rPr>
                          <w:t xml:space="preserve"> and s. 24(b), Art. I of the State Constitution.</w:t>
                        </w:r>
                      </w:p>
                      <w:p w14:paraId="6B4D3F4E"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2.a.</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complete recording must be made of any portion of an exempt meeting. No portion of the exempt meeting may be held off the record.</w:t>
                        </w:r>
                      </w:p>
                      <w:p w14:paraId="0D828F1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b.</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The recording of, and any records generated during, the exempt meeting are exempt from s. </w:t>
                        </w:r>
                        <w:hyperlink r:id="rId15" w:history="1">
                          <w:r w:rsidRPr="006E71FC">
                            <w:rPr>
                              <w:rFonts w:ascii="Verdana" w:eastAsia="Times New Roman" w:hAnsi="Verdana" w:cs="Times New Roman"/>
                              <w:color w:val="0000FF"/>
                              <w:sz w:val="20"/>
                              <w:szCs w:val="20"/>
                              <w:u w:val="single"/>
                            </w:rPr>
                            <w:t>119.07</w:t>
                          </w:r>
                        </w:hyperlink>
                        <w:r w:rsidRPr="006E71FC">
                          <w:rPr>
                            <w:rFonts w:ascii="Verdana" w:eastAsia="Times New Roman" w:hAnsi="Verdana" w:cs="Times New Roman"/>
                            <w:color w:val="000080"/>
                            <w:sz w:val="20"/>
                            <w:szCs w:val="20"/>
                          </w:rPr>
                          <w:t>(1) and s. 24(a), Art. I of the State Constitution until such time as the responsible public entity provides notice of an intended decision for a qualifying project or 180 days after receipt of the unsolicited proposal by the responsible public entity if such entity does not issue a competitive solicitation for the project.</w:t>
                        </w:r>
                      </w:p>
                      <w:p w14:paraId="64B94E6F"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c.</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If the responsible public entity rejects all proposals and concurrently provides notice of its intent to reissue a competitive solicitation, the recording and any records generated at the exempt meeting remain exempt from s. </w:t>
                        </w:r>
                        <w:hyperlink r:id="rId16" w:history="1">
                          <w:r w:rsidRPr="006E71FC">
                            <w:rPr>
                              <w:rFonts w:ascii="Verdana" w:eastAsia="Times New Roman" w:hAnsi="Verdana" w:cs="Times New Roman"/>
                              <w:color w:val="0000FF"/>
                              <w:sz w:val="20"/>
                              <w:szCs w:val="20"/>
                              <w:u w:val="single"/>
                            </w:rPr>
                            <w:t>119.07</w:t>
                          </w:r>
                        </w:hyperlink>
                        <w:r w:rsidRPr="006E71FC">
                          <w:rPr>
                            <w:rFonts w:ascii="Verdana" w:eastAsia="Times New Roman" w:hAnsi="Verdana" w:cs="Times New Roman"/>
                            <w:color w:val="000080"/>
                            <w:sz w:val="20"/>
                            <w:szCs w:val="20"/>
                          </w:rPr>
                          <w:t>(1) and s. 24(a), Art. I of the State Constitution until such time as the responsible public entity provides notice of an intended decision concerning the reissued competitive solicitation or until the responsible public entity withdraws the reissued competitive solicitation for such project.</w:t>
                        </w:r>
                      </w:p>
                      <w:p w14:paraId="3402DEAD"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d.</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A recording and any records generated during an exempt meeting are exempt for no longer than 90 days after the initial notice by the responsible public entity rejecting all proposals.</w:t>
                        </w:r>
                      </w:p>
                      <w:p w14:paraId="6D257154" w14:textId="77777777" w:rsidR="006E71FC" w:rsidRPr="006E71FC" w:rsidRDefault="006E71FC" w:rsidP="006E71FC">
                        <w:pPr>
                          <w:spacing w:after="0" w:line="240" w:lineRule="auto"/>
                          <w:rPr>
                            <w:rFonts w:ascii="Verdana" w:eastAsia="Times New Roman" w:hAnsi="Verdana" w:cs="Times New Roman"/>
                            <w:color w:val="000080"/>
                            <w:sz w:val="20"/>
                            <w:szCs w:val="20"/>
                          </w:rPr>
                        </w:pPr>
                        <w:r w:rsidRPr="006E71FC">
                          <w:rPr>
                            <w:rFonts w:ascii="Verdana" w:eastAsia="Times New Roman" w:hAnsi="Verdana" w:cs="Times New Roman"/>
                            <w:color w:val="000080"/>
                            <w:sz w:val="20"/>
                            <w:szCs w:val="20"/>
                          </w:rPr>
                          <w:t>(e)</w:t>
                        </w:r>
                        <w:r w:rsidRPr="006E71FC">
                          <w:rPr>
                            <w:rFonts w:ascii="Verdana" w:eastAsia="Times New Roman" w:hAnsi="Verdana" w:cs="Times New Roman"/>
                            <w:color w:val="000080"/>
                            <w:sz w:val="20"/>
                            <w:szCs w:val="20"/>
                          </w:rPr>
                          <w:t> </w:t>
                        </w:r>
                        <w:r w:rsidRPr="006E71FC">
                          <w:rPr>
                            <w:rFonts w:ascii="Verdana" w:eastAsia="Times New Roman" w:hAnsi="Verdana" w:cs="Times New Roman"/>
                            <w:color w:val="000080"/>
                            <w:sz w:val="20"/>
                            <w:szCs w:val="20"/>
                          </w:rPr>
                          <w:t xml:space="preserve">This subsection is subject to the Open Government Sunset Review Act in accordance with s. </w:t>
                        </w:r>
                        <w:hyperlink r:id="rId17" w:history="1">
                          <w:r w:rsidRPr="006E71FC">
                            <w:rPr>
                              <w:rFonts w:ascii="Verdana" w:eastAsia="Times New Roman" w:hAnsi="Verdana" w:cs="Times New Roman"/>
                              <w:color w:val="0000FF"/>
                              <w:sz w:val="20"/>
                              <w:szCs w:val="20"/>
                              <w:u w:val="single"/>
                            </w:rPr>
                            <w:t>119.15</w:t>
                          </w:r>
                        </w:hyperlink>
                        <w:r w:rsidRPr="006E71FC">
                          <w:rPr>
                            <w:rFonts w:ascii="Verdana" w:eastAsia="Times New Roman" w:hAnsi="Verdana" w:cs="Times New Roman"/>
                            <w:color w:val="000080"/>
                            <w:sz w:val="20"/>
                            <w:szCs w:val="20"/>
                          </w:rPr>
                          <w:t xml:space="preserve"> and shall stand repealed on October 2, 2021, unless reviewed and saved from repeal through reenactment by the Legislature.</w:t>
                        </w:r>
                      </w:p>
                      <w:p w14:paraId="5079A597" w14:textId="77777777" w:rsidR="006E71FC" w:rsidRPr="006E71FC" w:rsidRDefault="006E71FC" w:rsidP="006E71FC">
                        <w:pPr>
                          <w:spacing w:after="0" w:line="240" w:lineRule="auto"/>
                          <w:rPr>
                            <w:rFonts w:ascii="Verdana" w:eastAsia="Times New Roman" w:hAnsi="Verdana" w:cs="Times New Roman"/>
                            <w:color w:val="000080"/>
                            <w:sz w:val="20"/>
                            <w:szCs w:val="20"/>
                          </w:rPr>
                        </w:pPr>
                        <w:proofErr w:type="gramStart"/>
                        <w:r w:rsidRPr="006E71FC">
                          <w:rPr>
                            <w:rFonts w:ascii="Verdana" w:eastAsia="Times New Roman" w:hAnsi="Verdana" w:cs="Times New Roman"/>
                            <w:color w:val="000080"/>
                            <w:sz w:val="20"/>
                            <w:szCs w:val="20"/>
                          </w:rPr>
                          <w:t>History.—</w:t>
                        </w:r>
                        <w:proofErr w:type="gramEnd"/>
                        <w:r w:rsidRPr="006E71FC">
                          <w:rPr>
                            <w:rFonts w:ascii="Verdana" w:eastAsia="Times New Roman" w:hAnsi="Verdana" w:cs="Times New Roman"/>
                            <w:color w:val="000080"/>
                            <w:sz w:val="20"/>
                            <w:szCs w:val="20"/>
                          </w:rPr>
                          <w:t xml:space="preserve">s. 2, </w:t>
                        </w:r>
                        <w:proofErr w:type="spellStart"/>
                        <w:r w:rsidRPr="006E71FC">
                          <w:rPr>
                            <w:rFonts w:ascii="Verdana" w:eastAsia="Times New Roman" w:hAnsi="Verdana" w:cs="Times New Roman"/>
                            <w:color w:val="000080"/>
                            <w:sz w:val="20"/>
                            <w:szCs w:val="20"/>
                          </w:rPr>
                          <w:t>ch.</w:t>
                        </w:r>
                        <w:proofErr w:type="spellEnd"/>
                        <w:r w:rsidRPr="006E71FC">
                          <w:rPr>
                            <w:rFonts w:ascii="Verdana" w:eastAsia="Times New Roman" w:hAnsi="Verdana" w:cs="Times New Roman"/>
                            <w:color w:val="000080"/>
                            <w:sz w:val="20"/>
                            <w:szCs w:val="20"/>
                          </w:rPr>
                          <w:t xml:space="preserve"> 2013-223; s. 1, </w:t>
                        </w:r>
                        <w:proofErr w:type="spellStart"/>
                        <w:r w:rsidRPr="006E71FC">
                          <w:rPr>
                            <w:rFonts w:ascii="Verdana" w:eastAsia="Times New Roman" w:hAnsi="Verdana" w:cs="Times New Roman"/>
                            <w:color w:val="000080"/>
                            <w:sz w:val="20"/>
                            <w:szCs w:val="20"/>
                          </w:rPr>
                          <w:t>ch.</w:t>
                        </w:r>
                        <w:proofErr w:type="spellEnd"/>
                        <w:r w:rsidRPr="006E71FC">
                          <w:rPr>
                            <w:rFonts w:ascii="Verdana" w:eastAsia="Times New Roman" w:hAnsi="Verdana" w:cs="Times New Roman"/>
                            <w:color w:val="000080"/>
                            <w:sz w:val="20"/>
                            <w:szCs w:val="20"/>
                          </w:rPr>
                          <w:t xml:space="preserve"> 2016-153; s. 1, </w:t>
                        </w:r>
                        <w:proofErr w:type="spellStart"/>
                        <w:r w:rsidRPr="006E71FC">
                          <w:rPr>
                            <w:rFonts w:ascii="Verdana" w:eastAsia="Times New Roman" w:hAnsi="Verdana" w:cs="Times New Roman"/>
                            <w:color w:val="000080"/>
                            <w:sz w:val="20"/>
                            <w:szCs w:val="20"/>
                          </w:rPr>
                          <w:t>ch.</w:t>
                        </w:r>
                        <w:proofErr w:type="spellEnd"/>
                        <w:r w:rsidRPr="006E71FC">
                          <w:rPr>
                            <w:rFonts w:ascii="Verdana" w:eastAsia="Times New Roman" w:hAnsi="Verdana" w:cs="Times New Roman"/>
                            <w:color w:val="000080"/>
                            <w:sz w:val="20"/>
                            <w:szCs w:val="20"/>
                          </w:rPr>
                          <w:t xml:space="preserve"> 2016-154.</w:t>
                        </w:r>
                      </w:p>
                      <w:p w14:paraId="65D27848" w14:textId="77777777" w:rsidR="006E71FC" w:rsidRPr="006E71FC" w:rsidRDefault="006E71FC" w:rsidP="006E71FC">
                        <w:pPr>
                          <w:spacing w:after="0" w:line="240" w:lineRule="auto"/>
                          <w:rPr>
                            <w:rFonts w:ascii="Verdana" w:eastAsia="Times New Roman" w:hAnsi="Verdana" w:cs="Times New Roman"/>
                            <w:color w:val="000080"/>
                            <w:sz w:val="20"/>
                            <w:szCs w:val="20"/>
                          </w:rPr>
                        </w:pPr>
                        <w:proofErr w:type="gramStart"/>
                        <w:r w:rsidRPr="006E71FC">
                          <w:rPr>
                            <w:rFonts w:ascii="Verdana" w:eastAsia="Times New Roman" w:hAnsi="Verdana" w:cs="Times New Roman"/>
                            <w:color w:val="000080"/>
                            <w:sz w:val="20"/>
                            <w:szCs w:val="20"/>
                          </w:rPr>
                          <w:t>Note.—</w:t>
                        </w:r>
                        <w:proofErr w:type="gramEnd"/>
                        <w:r w:rsidRPr="006E71FC">
                          <w:rPr>
                            <w:rFonts w:ascii="Verdana" w:eastAsia="Times New Roman" w:hAnsi="Verdana" w:cs="Times New Roman"/>
                            <w:color w:val="000080"/>
                            <w:sz w:val="20"/>
                            <w:szCs w:val="20"/>
                          </w:rPr>
                          <w:t>Former s. 287.05712.</w:t>
                        </w:r>
                      </w:p>
                    </w:tc>
                  </w:tr>
                </w:tbl>
                <w:p w14:paraId="53910343" w14:textId="77777777" w:rsidR="006E71FC" w:rsidRPr="006E71FC" w:rsidRDefault="006E71FC" w:rsidP="006E71FC">
                  <w:pPr>
                    <w:spacing w:after="0" w:line="240" w:lineRule="auto"/>
                    <w:rPr>
                      <w:rFonts w:ascii="Trebuchet MS" w:eastAsia="Times New Roman" w:hAnsi="Trebuchet MS" w:cs="Times New Roman"/>
                      <w:color w:val="000080"/>
                      <w:sz w:val="20"/>
                      <w:szCs w:val="20"/>
                    </w:rPr>
                  </w:pPr>
                </w:p>
              </w:tc>
            </w:tr>
          </w:tbl>
          <w:p w14:paraId="43402F02" w14:textId="77777777" w:rsidR="006E71FC" w:rsidRPr="006E71FC" w:rsidRDefault="006E71FC" w:rsidP="006E71FC">
            <w:pPr>
              <w:spacing w:after="0" w:line="360" w:lineRule="atLeast"/>
              <w:rPr>
                <w:rFonts w:ascii="Trebuchet MS" w:eastAsia="Times New Roman" w:hAnsi="Trebuchet MS" w:cs="Times New Roman"/>
                <w:color w:val="000080"/>
                <w:sz w:val="20"/>
                <w:szCs w:val="20"/>
              </w:rPr>
            </w:pPr>
          </w:p>
        </w:tc>
      </w:tr>
      <w:tr w:rsidR="006E71FC" w:rsidRPr="006E71FC" w14:paraId="2EFED5FB" w14:textId="77777777" w:rsidTr="006E71FC">
        <w:trPr>
          <w:trHeight w:val="465"/>
          <w:tblCellSpacing w:w="0" w:type="dxa"/>
        </w:trPr>
        <w:tc>
          <w:tcPr>
            <w:tcW w:w="11400" w:type="dxa"/>
            <w:gridSpan w:val="2"/>
            <w:tcMar>
              <w:top w:w="30" w:type="dxa"/>
              <w:left w:w="0" w:type="dxa"/>
              <w:bottom w:w="0" w:type="dxa"/>
              <w:right w:w="0" w:type="dxa"/>
            </w:tcMar>
            <w:hideMark/>
          </w:tcPr>
          <w:p w14:paraId="25FB2673" w14:textId="77777777" w:rsidR="006E71FC" w:rsidRPr="006E71FC" w:rsidRDefault="006E71FC" w:rsidP="006E71FC">
            <w:pPr>
              <w:spacing w:after="0" w:line="240" w:lineRule="auto"/>
              <w:jc w:val="center"/>
              <w:rPr>
                <w:rFonts w:ascii="Trebuchet MS" w:eastAsia="Times New Roman" w:hAnsi="Trebuchet MS" w:cs="Times New Roman"/>
                <w:color w:val="FFFFFF"/>
                <w:sz w:val="18"/>
                <w:szCs w:val="18"/>
              </w:rPr>
            </w:pPr>
            <w:r w:rsidRPr="006E71FC">
              <w:rPr>
                <w:rFonts w:ascii="Trebuchet MS" w:eastAsia="Times New Roman" w:hAnsi="Trebuchet MS" w:cs="Times New Roman"/>
                <w:color w:val="FFFFFF"/>
                <w:sz w:val="18"/>
                <w:szCs w:val="18"/>
              </w:rPr>
              <w:lastRenderedPageBreak/>
              <w:t xml:space="preserve">Copyright © 1995-2019 The Florida Legislature • </w:t>
            </w:r>
            <w:hyperlink r:id="rId18" w:history="1">
              <w:r w:rsidRPr="006E71FC">
                <w:rPr>
                  <w:rFonts w:ascii="Trebuchet MS" w:eastAsia="Times New Roman" w:hAnsi="Trebuchet MS" w:cs="Times New Roman"/>
                  <w:color w:val="FFFFFF"/>
                  <w:sz w:val="18"/>
                  <w:szCs w:val="18"/>
                  <w:u w:val="single"/>
                </w:rPr>
                <w:t>Privacy Statement</w:t>
              </w:r>
            </w:hyperlink>
            <w:r w:rsidRPr="006E71FC">
              <w:rPr>
                <w:rFonts w:ascii="Trebuchet MS" w:eastAsia="Times New Roman" w:hAnsi="Trebuchet MS" w:cs="Times New Roman"/>
                <w:color w:val="FFFFFF"/>
                <w:sz w:val="18"/>
                <w:szCs w:val="18"/>
              </w:rPr>
              <w:t xml:space="preserve"> • </w:t>
            </w:r>
            <w:hyperlink r:id="rId19" w:history="1">
              <w:r w:rsidRPr="006E71FC">
                <w:rPr>
                  <w:rFonts w:ascii="Trebuchet MS" w:eastAsia="Times New Roman" w:hAnsi="Trebuchet MS" w:cs="Times New Roman"/>
                  <w:color w:val="FFFFFF"/>
                  <w:sz w:val="18"/>
                  <w:szCs w:val="18"/>
                  <w:u w:val="single"/>
                </w:rPr>
                <w:t>Contact Us</w:t>
              </w:r>
            </w:hyperlink>
          </w:p>
        </w:tc>
      </w:tr>
    </w:tbl>
    <w:p w14:paraId="36FE6C76" w14:textId="34DE0776" w:rsidR="006E71FC" w:rsidRDefault="006E71FC"/>
    <w:p w14:paraId="44D11308" w14:textId="23D3F997" w:rsidR="007F2BB3" w:rsidRDefault="007F2BB3"/>
    <w:p w14:paraId="161AEDF9" w14:textId="382171E4" w:rsidR="007F2BB3" w:rsidRDefault="007F2BB3">
      <w:pPr>
        <w:rPr>
          <w:b/>
        </w:rPr>
      </w:pPr>
      <w:r>
        <w:rPr>
          <w:b/>
        </w:rPr>
        <w:t>CCNA</w:t>
      </w:r>
    </w:p>
    <w:p w14:paraId="761B16D6" w14:textId="0847F5E0" w:rsidR="007F2BB3" w:rsidRDefault="007F2BB3">
      <w:pPr>
        <w:rPr>
          <w:b/>
        </w:rPr>
      </w:pPr>
    </w:p>
    <w:tbl>
      <w:tblPr>
        <w:tblW w:w="0" w:type="auto"/>
        <w:tblCellSpacing w:w="0" w:type="dxa"/>
        <w:tblBorders>
          <w:top w:val="single" w:sz="2" w:space="0" w:color="000000"/>
          <w:left w:val="single" w:sz="2" w:space="0" w:color="000000"/>
          <w:bottom w:val="single" w:sz="2" w:space="0" w:color="000000"/>
          <w:right w:val="single" w:sz="2" w:space="0" w:color="000000"/>
        </w:tblBorders>
        <w:tblCellMar>
          <w:left w:w="0" w:type="dxa"/>
          <w:right w:w="0" w:type="dxa"/>
        </w:tblCellMar>
        <w:tblLook w:val="04A0" w:firstRow="1" w:lastRow="0" w:firstColumn="1" w:lastColumn="0" w:noHBand="0" w:noVBand="1"/>
      </w:tblPr>
      <w:tblGrid>
        <w:gridCol w:w="9235"/>
        <w:gridCol w:w="119"/>
      </w:tblGrid>
      <w:tr w:rsidR="007F2BB3" w:rsidRPr="007F2BB3" w14:paraId="6A771051" w14:textId="77777777" w:rsidTr="007F2BB3">
        <w:trPr>
          <w:gridAfter w:val="1"/>
          <w:wAfter w:w="480" w:type="dxa"/>
          <w:tblCellSpacing w:w="0" w:type="dxa"/>
        </w:trPr>
        <w:tc>
          <w:tcPr>
            <w:tcW w:w="0" w:type="auto"/>
            <w:tcMar>
              <w:top w:w="150"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9000"/>
            </w:tblGrid>
            <w:tr w:rsidR="007F2BB3" w:rsidRPr="007F2BB3" w14:paraId="7DA09A83" w14:textId="77777777">
              <w:trPr>
                <w:tblCellSpacing w:w="0" w:type="dxa"/>
              </w:trPr>
              <w:tc>
                <w:tcPr>
                  <w:tcW w:w="0" w:type="auto"/>
                  <w:vAlign w:val="center"/>
                  <w:hideMark/>
                </w:tcPr>
                <w:tbl>
                  <w:tblPr>
                    <w:tblW w:w="9000" w:type="dxa"/>
                    <w:tblCellSpacing w:w="0" w:type="dxa"/>
                    <w:tblCellMar>
                      <w:left w:w="0" w:type="dxa"/>
                      <w:right w:w="0" w:type="dxa"/>
                    </w:tblCellMar>
                    <w:tblLook w:val="04A0" w:firstRow="1" w:lastRow="0" w:firstColumn="1" w:lastColumn="0" w:noHBand="0" w:noVBand="1"/>
                  </w:tblPr>
                  <w:tblGrid>
                    <w:gridCol w:w="9000"/>
                  </w:tblGrid>
                  <w:tr w:rsidR="007F2BB3" w:rsidRPr="007F2BB3" w14:paraId="3AD7623B" w14:textId="77777777">
                    <w:trPr>
                      <w:tblCellSpacing w:w="0" w:type="dxa"/>
                    </w:trPr>
                    <w:tc>
                      <w:tcPr>
                        <w:tcW w:w="0" w:type="auto"/>
                        <w:vAlign w:val="center"/>
                        <w:hideMark/>
                      </w:tcPr>
                      <w:p w14:paraId="682C9C0C"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287.055</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Acquisition of professional architectural, engineering, landscape architectural, or surveying and mapping services; definitions; procedures; contingent fees prohibited; </w:t>
                        </w:r>
                        <w:proofErr w:type="gramStart"/>
                        <w:r w:rsidRPr="007F2BB3">
                          <w:rPr>
                            <w:rFonts w:ascii="Verdana" w:eastAsia="Times New Roman" w:hAnsi="Verdana" w:cs="Times New Roman"/>
                            <w:color w:val="000080"/>
                            <w:sz w:val="20"/>
                            <w:szCs w:val="20"/>
                          </w:rPr>
                          <w:t>penalties.—</w:t>
                        </w:r>
                        <w:proofErr w:type="gramEnd"/>
                      </w:p>
                      <w:p w14:paraId="126B744B" w14:textId="77777777" w:rsidR="007F2BB3" w:rsidRPr="007F2BB3" w:rsidRDefault="007F2BB3" w:rsidP="007F2BB3">
                        <w:pPr>
                          <w:spacing w:after="0" w:line="240" w:lineRule="auto"/>
                          <w:rPr>
                            <w:rFonts w:ascii="Times New Roman" w:eastAsia="Times New Roman" w:hAnsi="Times New Roman" w:cs="Times New Roman"/>
                            <w:sz w:val="24"/>
                            <w:szCs w:val="24"/>
                          </w:rPr>
                        </w:pPr>
                        <w:r w:rsidRPr="007F2BB3">
                          <w:rPr>
                            <w:rFonts w:ascii="Verdana" w:eastAsia="Times New Roman" w:hAnsi="Verdana" w:cs="Times New Roman"/>
                            <w:color w:val="000080"/>
                            <w:sz w:val="20"/>
                            <w:szCs w:val="20"/>
                          </w:rPr>
                          <w:t>(1)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SHORT </w:t>
                        </w:r>
                        <w:proofErr w:type="gramStart"/>
                        <w:r w:rsidRPr="007F2BB3">
                          <w:rPr>
                            <w:rFonts w:ascii="Verdana" w:eastAsia="Times New Roman" w:hAnsi="Verdana" w:cs="Times New Roman"/>
                            <w:color w:val="000080"/>
                            <w:sz w:val="20"/>
                            <w:szCs w:val="20"/>
                          </w:rPr>
                          <w:t>TITLE.—</w:t>
                        </w:r>
                        <w:proofErr w:type="gramEnd"/>
                        <w:r w:rsidRPr="007F2BB3">
                          <w:rPr>
                            <w:rFonts w:ascii="Verdana" w:eastAsia="Times New Roman" w:hAnsi="Verdana" w:cs="Times New Roman"/>
                            <w:color w:val="000080"/>
                            <w:sz w:val="20"/>
                            <w:szCs w:val="20"/>
                          </w:rPr>
                          <w:t>This section shall be known as the “Consultants’ Competitive Negotiation Act.”</w:t>
                        </w:r>
                      </w:p>
                      <w:p w14:paraId="3F59255B"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w:t>
                        </w:r>
                        <w:r w:rsidRPr="007F2BB3">
                          <w:rPr>
                            <w:rFonts w:ascii="Verdana" w:eastAsia="Times New Roman" w:hAnsi="Verdana" w:cs="Times New Roman"/>
                            <w:color w:val="000080"/>
                            <w:sz w:val="20"/>
                            <w:szCs w:val="20"/>
                          </w:rPr>
                          <w:t> </w:t>
                        </w:r>
                        <w:proofErr w:type="gramStart"/>
                        <w:r w:rsidRPr="007F2BB3">
                          <w:rPr>
                            <w:rFonts w:ascii="Verdana" w:eastAsia="Times New Roman" w:hAnsi="Verdana" w:cs="Times New Roman"/>
                            <w:color w:val="000080"/>
                            <w:sz w:val="20"/>
                            <w:szCs w:val="20"/>
                          </w:rPr>
                          <w:t>DEFINITIONS.—</w:t>
                        </w:r>
                        <w:proofErr w:type="gramEnd"/>
                        <w:r w:rsidRPr="007F2BB3">
                          <w:rPr>
                            <w:rFonts w:ascii="Verdana" w:eastAsia="Times New Roman" w:hAnsi="Verdana" w:cs="Times New Roman"/>
                            <w:color w:val="000080"/>
                            <w:sz w:val="20"/>
                            <w:szCs w:val="20"/>
                          </w:rPr>
                          <w:t>For purposes of this section:</w:t>
                        </w:r>
                      </w:p>
                      <w:p w14:paraId="59FAF22B"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“Professional services” means those services within the scope of the practice of </w:t>
                        </w:r>
                        <w:r w:rsidRPr="007F2BB3">
                          <w:rPr>
                            <w:rFonts w:ascii="Verdana" w:eastAsia="Times New Roman" w:hAnsi="Verdana" w:cs="Times New Roman"/>
                            <w:color w:val="000080"/>
                            <w:sz w:val="20"/>
                            <w:szCs w:val="20"/>
                            <w:highlight w:val="yellow"/>
                          </w:rPr>
                          <w:t>architecture, professional engineering, landscape architecture, or registered surveying and mapping</w:t>
                        </w:r>
                        <w:r w:rsidRPr="007F2BB3">
                          <w:rPr>
                            <w:rFonts w:ascii="Verdana" w:eastAsia="Times New Roman" w:hAnsi="Verdana" w:cs="Times New Roman"/>
                            <w:color w:val="000080"/>
                            <w:sz w:val="20"/>
                            <w:szCs w:val="20"/>
                          </w:rPr>
                          <w:t>, as defined by the laws of the state, or those performed by any architect, professional engineer, landscape architect, or registered surveyor and mapper in connection with his or her professional employment or practice.</w:t>
                        </w:r>
                      </w:p>
                      <w:p w14:paraId="0B293ADC"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“Agency” means the state, a state agency, a municipality, a political subdivision, a school district, or a school board. The term “agency” does not extend to a nongovernmental developer that contributes public facilities to a political subdivision under s. </w:t>
                        </w:r>
                        <w:hyperlink r:id="rId20" w:history="1">
                          <w:r w:rsidRPr="007F2BB3">
                            <w:rPr>
                              <w:rFonts w:ascii="Verdana" w:eastAsia="Times New Roman" w:hAnsi="Verdana" w:cs="Times New Roman"/>
                              <w:color w:val="0000FF"/>
                              <w:sz w:val="20"/>
                              <w:szCs w:val="20"/>
                              <w:u w:val="single"/>
                            </w:rPr>
                            <w:t>380.06</w:t>
                          </w:r>
                        </w:hyperlink>
                        <w:r w:rsidRPr="007F2BB3">
                          <w:rPr>
                            <w:rFonts w:ascii="Verdana" w:eastAsia="Times New Roman" w:hAnsi="Verdana" w:cs="Times New Roman"/>
                            <w:color w:val="000080"/>
                            <w:sz w:val="20"/>
                            <w:szCs w:val="20"/>
                          </w:rPr>
                          <w:t xml:space="preserve"> or ss. </w:t>
                        </w:r>
                        <w:hyperlink r:id="rId21" w:history="1">
                          <w:r w:rsidRPr="007F2BB3">
                            <w:rPr>
                              <w:rFonts w:ascii="Verdana" w:eastAsia="Times New Roman" w:hAnsi="Verdana" w:cs="Times New Roman"/>
                              <w:color w:val="0000FF"/>
                              <w:sz w:val="20"/>
                              <w:szCs w:val="20"/>
                              <w:u w:val="single"/>
                            </w:rPr>
                            <w:t>163.3220</w:t>
                          </w:r>
                        </w:hyperlink>
                        <w:r w:rsidRPr="007F2BB3">
                          <w:rPr>
                            <w:rFonts w:ascii="Verdana" w:eastAsia="Times New Roman" w:hAnsi="Verdana" w:cs="Times New Roman"/>
                            <w:color w:val="000080"/>
                            <w:sz w:val="20"/>
                            <w:szCs w:val="20"/>
                          </w:rPr>
                          <w:t>-</w:t>
                        </w:r>
                        <w:hyperlink r:id="rId22" w:history="1">
                          <w:r w:rsidRPr="007F2BB3">
                            <w:rPr>
                              <w:rFonts w:ascii="Verdana" w:eastAsia="Times New Roman" w:hAnsi="Verdana" w:cs="Times New Roman"/>
                              <w:color w:val="0000FF"/>
                              <w:sz w:val="20"/>
                              <w:szCs w:val="20"/>
                              <w:u w:val="single"/>
                            </w:rPr>
                            <w:t>163.3243</w:t>
                          </w:r>
                        </w:hyperlink>
                        <w:r w:rsidRPr="007F2BB3">
                          <w:rPr>
                            <w:rFonts w:ascii="Verdana" w:eastAsia="Times New Roman" w:hAnsi="Verdana" w:cs="Times New Roman"/>
                            <w:color w:val="000080"/>
                            <w:sz w:val="20"/>
                            <w:szCs w:val="20"/>
                          </w:rPr>
                          <w:t>.</w:t>
                        </w:r>
                      </w:p>
                      <w:p w14:paraId="47C3B83A"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lastRenderedPageBreak/>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“Firm” means any individual, firm, partnership, corporation, association, or other legal entity permitted by law to practice architecture, engineering, or surveying and mapping in the state.</w:t>
                        </w:r>
                      </w:p>
                      <w:p w14:paraId="3A7F6CA7"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(d)</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“Compensation” means the amount paid by the agency for professional services regardless of whether stated as compensation or stated as hourly rates, overhead rates, or other figures or formulas from which compensation can be calculated.</w:t>
                        </w:r>
                      </w:p>
                      <w:p w14:paraId="45780581"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(e)</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“Agency official” means any elected or appointed officeholder, employee, consultant, person in the category of other personal service or any other person receiving compensation from the state, a state agency, municipality, or political subdivision, a school district or a school board.</w:t>
                        </w:r>
                      </w:p>
                      <w:p w14:paraId="2878009A"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(f)</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“Project” means that fixed capital outlay study or planning activity described in the public notice of the state or a state agency under paragraph (3)(a). A project may include:</w:t>
                        </w:r>
                      </w:p>
                      <w:p w14:paraId="1EBBEC83"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 grouping of minor construction, rehabilitation, or renovation activities.</w:t>
                        </w:r>
                      </w:p>
                      <w:p w14:paraId="2A6D2BE4"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 grouping of substantially similar construction, rehabilitation, or renovation activities.</w:t>
                        </w:r>
                      </w:p>
                      <w:p w14:paraId="39399C8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(g)</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 “continuing contract” is a contract for professional services entered into in accordance with all the procedures of this act between an agency and a firm whereby the firm provides professional services to the agency for projects in which the estimated construction cost of each individual project under the contract does not exceed $2 million, for study activity if the fee for professional services for each individual study under the contract does not exceed $200,000, or for work of a specified nature as outlined in the contract required by the agency, with the contract being for a fixed term or with no time limitation except that the contract must provide a termination clause. Firms providing professional services under continuing contracts shall not be required to bid against one another.</w:t>
                        </w:r>
                      </w:p>
                      <w:p w14:paraId="72379513"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(h)</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 “design-build firm” means a partnership, corporation, or other legal entity that:</w:t>
                        </w:r>
                      </w:p>
                      <w:p w14:paraId="595F0185"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Is certified under s. </w:t>
                        </w:r>
                        <w:hyperlink r:id="rId23" w:history="1">
                          <w:r w:rsidRPr="007F2BB3">
                            <w:rPr>
                              <w:rFonts w:ascii="Verdana" w:eastAsia="Times New Roman" w:hAnsi="Verdana" w:cs="Times New Roman"/>
                              <w:color w:val="0000FF"/>
                              <w:sz w:val="20"/>
                              <w:szCs w:val="20"/>
                              <w:u w:val="single"/>
                            </w:rPr>
                            <w:t>489.119</w:t>
                          </w:r>
                        </w:hyperlink>
                        <w:r w:rsidRPr="007F2BB3">
                          <w:rPr>
                            <w:rFonts w:ascii="Verdana" w:eastAsia="Times New Roman" w:hAnsi="Verdana" w:cs="Times New Roman"/>
                            <w:color w:val="000080"/>
                            <w:sz w:val="20"/>
                            <w:szCs w:val="20"/>
                          </w:rPr>
                          <w:t xml:space="preserve"> to engage in contracting through a certified or registered general contractor or a certified or registered building contractor as the qualifying agent; or</w:t>
                        </w:r>
                      </w:p>
                      <w:p w14:paraId="2CCA42D4"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Is certified under s. </w:t>
                        </w:r>
                        <w:hyperlink r:id="rId24" w:history="1">
                          <w:r w:rsidRPr="007F2BB3">
                            <w:rPr>
                              <w:rFonts w:ascii="Verdana" w:eastAsia="Times New Roman" w:hAnsi="Verdana" w:cs="Times New Roman"/>
                              <w:color w:val="0000FF"/>
                              <w:sz w:val="20"/>
                              <w:szCs w:val="20"/>
                              <w:u w:val="single"/>
                            </w:rPr>
                            <w:t>471.023</w:t>
                          </w:r>
                        </w:hyperlink>
                        <w:r w:rsidRPr="007F2BB3">
                          <w:rPr>
                            <w:rFonts w:ascii="Verdana" w:eastAsia="Times New Roman" w:hAnsi="Verdana" w:cs="Times New Roman"/>
                            <w:color w:val="000080"/>
                            <w:sz w:val="20"/>
                            <w:szCs w:val="20"/>
                          </w:rPr>
                          <w:t xml:space="preserve"> to practice or to offer to practice engineering; certified under s. </w:t>
                        </w:r>
                        <w:hyperlink r:id="rId25" w:history="1">
                          <w:r w:rsidRPr="007F2BB3">
                            <w:rPr>
                              <w:rFonts w:ascii="Verdana" w:eastAsia="Times New Roman" w:hAnsi="Verdana" w:cs="Times New Roman"/>
                              <w:color w:val="0000FF"/>
                              <w:sz w:val="20"/>
                              <w:szCs w:val="20"/>
                              <w:u w:val="single"/>
                            </w:rPr>
                            <w:t>481.219</w:t>
                          </w:r>
                        </w:hyperlink>
                        <w:r w:rsidRPr="007F2BB3">
                          <w:rPr>
                            <w:rFonts w:ascii="Verdana" w:eastAsia="Times New Roman" w:hAnsi="Verdana" w:cs="Times New Roman"/>
                            <w:color w:val="000080"/>
                            <w:sz w:val="20"/>
                            <w:szCs w:val="20"/>
                          </w:rPr>
                          <w:t xml:space="preserve"> to practice or to offer to practice architecture; or certified under s. </w:t>
                        </w:r>
                        <w:hyperlink r:id="rId26" w:history="1">
                          <w:r w:rsidRPr="007F2BB3">
                            <w:rPr>
                              <w:rFonts w:ascii="Verdana" w:eastAsia="Times New Roman" w:hAnsi="Verdana" w:cs="Times New Roman"/>
                              <w:color w:val="0000FF"/>
                              <w:sz w:val="20"/>
                              <w:szCs w:val="20"/>
                              <w:u w:val="single"/>
                            </w:rPr>
                            <w:t>481.319</w:t>
                          </w:r>
                        </w:hyperlink>
                        <w:r w:rsidRPr="007F2BB3">
                          <w:rPr>
                            <w:rFonts w:ascii="Verdana" w:eastAsia="Times New Roman" w:hAnsi="Verdana" w:cs="Times New Roman"/>
                            <w:color w:val="000080"/>
                            <w:sz w:val="20"/>
                            <w:szCs w:val="20"/>
                          </w:rPr>
                          <w:t xml:space="preserve"> to practice or to offer to practice landscape architecture.</w:t>
                        </w:r>
                      </w:p>
                      <w:p w14:paraId="66728DF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w:t>
                        </w:r>
                        <w:proofErr w:type="spellStart"/>
                        <w:r w:rsidRPr="007F2BB3">
                          <w:rPr>
                            <w:rFonts w:ascii="Verdana" w:eastAsia="Times New Roman" w:hAnsi="Verdana" w:cs="Times New Roman"/>
                            <w:color w:val="000080"/>
                            <w:sz w:val="20"/>
                            <w:szCs w:val="20"/>
                          </w:rPr>
                          <w:t>i</w:t>
                        </w:r>
                        <w:proofErr w:type="spellEnd"/>
                        <w:r w:rsidRPr="007F2BB3">
                          <w:rPr>
                            <w:rFonts w:ascii="Verdana" w:eastAsia="Times New Roman" w:hAnsi="Verdana" w:cs="Times New Roman"/>
                            <w:color w:val="000080"/>
                            <w:sz w:val="20"/>
                            <w:szCs w:val="20"/>
                          </w:rPr>
                          <w:t>)</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 “design-build contract” means a single contract with a design-build firm for the design and construction of a public construction project.</w:t>
                        </w:r>
                      </w:p>
                      <w:p w14:paraId="53BE0DFB"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(j)</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 “design criteria package” means concise, performance-oriented drawings or specifications of the public construction project. The purpose of the design criteria package is to furnish </w:t>
                        </w:r>
                        <w:proofErr w:type="gramStart"/>
                        <w:r w:rsidRPr="007F2BB3">
                          <w:rPr>
                            <w:rFonts w:ascii="Verdana" w:eastAsia="Times New Roman" w:hAnsi="Verdana" w:cs="Times New Roman"/>
                            <w:color w:val="000080"/>
                            <w:sz w:val="20"/>
                            <w:szCs w:val="20"/>
                          </w:rPr>
                          <w:t>sufficient</w:t>
                        </w:r>
                        <w:proofErr w:type="gramEnd"/>
                        <w:r w:rsidRPr="007F2BB3">
                          <w:rPr>
                            <w:rFonts w:ascii="Verdana" w:eastAsia="Times New Roman" w:hAnsi="Verdana" w:cs="Times New Roman"/>
                            <w:color w:val="000080"/>
                            <w:sz w:val="20"/>
                            <w:szCs w:val="20"/>
                          </w:rPr>
                          <w:t xml:space="preserve"> information to permit design-build firms to prepare a bid or a response to an agency’s request for proposal, or to permit an agency to enter into a negotiated design-build contract. The design criteria package must specify performance-based criteria for the public construction project, including the legal description of the site, survey information concerning the site, interior space requirements, material quality standards, schematic layouts and conceptual design criteria of the project, cost or budget estimates, design and construction schedules, site development requirements, provisions for utilities, stormwater retention and disposal, and parking requirements applicable to the project.</w:t>
                        </w:r>
                      </w:p>
                      <w:p w14:paraId="3D2B45A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(k)</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 “design criteria professional” means a firm who holds a current certificate of registration under chapter 481 to practice architecture or landscape architecture or a firm who holds a current certificate as a registered engineer under chapter 471 to practice engineering and who is employed by or under contract to the agency for the </w:t>
                        </w:r>
                        <w:r w:rsidRPr="007F2BB3">
                          <w:rPr>
                            <w:rFonts w:ascii="Verdana" w:eastAsia="Times New Roman" w:hAnsi="Verdana" w:cs="Times New Roman"/>
                            <w:color w:val="000080"/>
                            <w:sz w:val="20"/>
                            <w:szCs w:val="20"/>
                          </w:rPr>
                          <w:lastRenderedPageBreak/>
                          <w:t>providing of professional architect services, landscape architect services, or engineering services in connection with the preparation of the design criteria package.</w:t>
                        </w:r>
                      </w:p>
                      <w:p w14:paraId="401CE27A"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(l)</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“Negotiate” or any form of that word means to conduct legitimate, </w:t>
                        </w:r>
                        <w:proofErr w:type="spellStart"/>
                        <w:r w:rsidRPr="007F2BB3">
                          <w:rPr>
                            <w:rFonts w:ascii="Verdana" w:eastAsia="Times New Roman" w:hAnsi="Verdana" w:cs="Times New Roman"/>
                            <w:color w:val="000080"/>
                            <w:sz w:val="20"/>
                            <w:szCs w:val="20"/>
                          </w:rPr>
                          <w:t>arms length</w:t>
                        </w:r>
                        <w:proofErr w:type="spellEnd"/>
                        <w:r w:rsidRPr="007F2BB3">
                          <w:rPr>
                            <w:rFonts w:ascii="Verdana" w:eastAsia="Times New Roman" w:hAnsi="Verdana" w:cs="Times New Roman"/>
                            <w:color w:val="000080"/>
                            <w:sz w:val="20"/>
                            <w:szCs w:val="20"/>
                          </w:rPr>
                          <w:t xml:space="preserve"> discussions and conferences to reach an agreement on a term or price. For purposes of this section, the term does not include presentation of flat-fee schedules with no alternatives or discussion.</w:t>
                        </w:r>
                      </w:p>
                      <w:p w14:paraId="2F2939F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(3)</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PUBLIC ANNOUNCEMENT AND QUALIFICATION </w:t>
                        </w:r>
                        <w:proofErr w:type="gramStart"/>
                        <w:r w:rsidRPr="007F2BB3">
                          <w:rPr>
                            <w:rFonts w:ascii="Verdana" w:eastAsia="Times New Roman" w:hAnsi="Verdana" w:cs="Times New Roman"/>
                            <w:color w:val="000080"/>
                            <w:sz w:val="20"/>
                            <w:szCs w:val="20"/>
                          </w:rPr>
                          <w:t>PROCEDURES.—</w:t>
                        </w:r>
                        <w:proofErr w:type="gramEnd"/>
                      </w:p>
                      <w:p w14:paraId="5BA26651"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Each agency shall publicly announce, in a uniform and consistent manner, each occasion when professional services must be purchased for a project the basic construction cost of which is estimated by the agency to exceed the threshold amount provided in s. </w:t>
                        </w:r>
                        <w:hyperlink r:id="rId27" w:history="1">
                          <w:r w:rsidRPr="007F2BB3">
                            <w:rPr>
                              <w:rFonts w:ascii="Verdana" w:eastAsia="Times New Roman" w:hAnsi="Verdana" w:cs="Times New Roman"/>
                              <w:color w:val="0000FF"/>
                              <w:sz w:val="20"/>
                              <w:szCs w:val="20"/>
                              <w:u w:val="single"/>
                            </w:rPr>
                            <w:t>287.017</w:t>
                          </w:r>
                        </w:hyperlink>
                        <w:r w:rsidRPr="007F2BB3">
                          <w:rPr>
                            <w:rFonts w:ascii="Verdana" w:eastAsia="Times New Roman" w:hAnsi="Verdana" w:cs="Times New Roman"/>
                            <w:color w:val="000080"/>
                            <w:sz w:val="20"/>
                            <w:szCs w:val="20"/>
                          </w:rPr>
                          <w:t xml:space="preserve"> for CATEGORY FIVE or for a planning or study activity when the fee for professional services exceeds the threshold amount provided in s. </w:t>
                        </w:r>
                        <w:hyperlink r:id="rId28" w:history="1">
                          <w:r w:rsidRPr="007F2BB3">
                            <w:rPr>
                              <w:rFonts w:ascii="Verdana" w:eastAsia="Times New Roman" w:hAnsi="Verdana" w:cs="Times New Roman"/>
                              <w:color w:val="0000FF"/>
                              <w:sz w:val="20"/>
                              <w:szCs w:val="20"/>
                              <w:u w:val="single"/>
                            </w:rPr>
                            <w:t>287.017</w:t>
                          </w:r>
                        </w:hyperlink>
                        <w:r w:rsidRPr="007F2BB3">
                          <w:rPr>
                            <w:rFonts w:ascii="Verdana" w:eastAsia="Times New Roman" w:hAnsi="Verdana" w:cs="Times New Roman"/>
                            <w:color w:val="000080"/>
                            <w:sz w:val="20"/>
                            <w:szCs w:val="20"/>
                          </w:rPr>
                          <w:t xml:space="preserve"> for CATEGORY TWO, except in cases of valid public emergencies certified by the agency head. The public notice must include a general description of the project and must indicate how interested consultants may apply for consideration.</w:t>
                        </w:r>
                      </w:p>
                      <w:p w14:paraId="003C0F3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Each agency shall provide a good faith estimate in determining whether the proposed activity meets the threshold amounts referred to in this paragraph.</w:t>
                        </w:r>
                      </w:p>
                      <w:p w14:paraId="1B215A86"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Each agency shall encourage firms engaged in the lawful practice of their professions that desire to provide professional services to the agency to submit annually statements of qualifications and performance data.</w:t>
                        </w:r>
                      </w:p>
                      <w:p w14:paraId="699A8578"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Any firm or individual desiring to provide professional services to the agency must first be certified by the agency as qualified pursuant to law and the regulations of the agency. The agency must find that the firm or individual to be employed is fully qualified to render the required service. Among the factors to be considered in making this finding are the capabilities, adequacy of personnel, past record, and experience of the firm or individual.</w:t>
                        </w:r>
                      </w:p>
                      <w:p w14:paraId="67FF3D0F"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(d)</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Each agency shall evaluate professional services, including capabilities, adequacy of personnel, past record, experience, whether the firm is a certified minority business enterprise as defined by the Florida Small and Minority Business Assistance Act, and other factors determined by the agency to be applicable to its particular requirements. When securing professional services, an agency must endeavor to meet the minority business enterprise procurement goals under s. </w:t>
                        </w:r>
                        <w:hyperlink r:id="rId29" w:history="1">
                          <w:r w:rsidRPr="007F2BB3">
                            <w:rPr>
                              <w:rFonts w:ascii="Verdana" w:eastAsia="Times New Roman" w:hAnsi="Verdana" w:cs="Times New Roman"/>
                              <w:color w:val="0000FF"/>
                              <w:sz w:val="20"/>
                              <w:szCs w:val="20"/>
                              <w:u w:val="single"/>
                            </w:rPr>
                            <w:t>287.09451</w:t>
                          </w:r>
                        </w:hyperlink>
                        <w:r w:rsidRPr="007F2BB3">
                          <w:rPr>
                            <w:rFonts w:ascii="Verdana" w:eastAsia="Times New Roman" w:hAnsi="Verdana" w:cs="Times New Roman"/>
                            <w:color w:val="000080"/>
                            <w:sz w:val="20"/>
                            <w:szCs w:val="20"/>
                          </w:rPr>
                          <w:t>.</w:t>
                        </w:r>
                      </w:p>
                      <w:p w14:paraId="45D65AF1"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(e)</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public must not be excluded from the proceedings under this section.</w:t>
                        </w:r>
                      </w:p>
                      <w:p w14:paraId="4B6B9802"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(4)</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COMPETITIVE </w:t>
                        </w:r>
                        <w:proofErr w:type="gramStart"/>
                        <w:r w:rsidRPr="007F2BB3">
                          <w:rPr>
                            <w:rFonts w:ascii="Verdana" w:eastAsia="Times New Roman" w:hAnsi="Verdana" w:cs="Times New Roman"/>
                            <w:color w:val="000080"/>
                            <w:sz w:val="20"/>
                            <w:szCs w:val="20"/>
                          </w:rPr>
                          <w:t>SELECTION.—</w:t>
                        </w:r>
                        <w:proofErr w:type="gramEnd"/>
                      </w:p>
                      <w:p w14:paraId="79B35100"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For each proposed project, the agency shall evaluate current statements of qualifications and performance data on file with the agency, together with those that may be submitted by other firms regarding the proposed project, and shall conduct discussions with, and may require public presentations by, no fewer than three firms regarding their qualifications, approach to the project, and ability to furnish the required services.</w:t>
                        </w:r>
                      </w:p>
                      <w:p w14:paraId="6F3769C1"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highlight w:val="yellow"/>
                          </w:rPr>
                          <w:t>The agency shall select in order of preference no fewer than three firms deemed to be the most highly qualified to perform the required services</w:t>
                        </w:r>
                        <w:r w:rsidRPr="007F2BB3">
                          <w:rPr>
                            <w:rFonts w:ascii="Verdana" w:eastAsia="Times New Roman" w:hAnsi="Verdana" w:cs="Times New Roman"/>
                            <w:color w:val="000080"/>
                            <w:sz w:val="20"/>
                            <w:szCs w:val="20"/>
                          </w:rPr>
                          <w:t xml:space="preserve">. In determining whether a firm is qualified, the agency shall consider such factors as the ability of professional personnel; whether a firm is a certified minority business enterprise; past performance; willingness to meet time and budget requirements; location; recent, current, and projected workloads of the firms; and the volume of work previously awarded to each firm by the agency, with the object of effecting an equitable distribution of contracts among qualified firms, provided such distribution does not violate the principle of selection of the most highly qualified firms. The agency may request, accept, and </w:t>
                        </w:r>
                        <w:r w:rsidRPr="007F2BB3">
                          <w:rPr>
                            <w:rFonts w:ascii="Verdana" w:eastAsia="Times New Roman" w:hAnsi="Verdana" w:cs="Times New Roman"/>
                            <w:color w:val="000080"/>
                            <w:sz w:val="20"/>
                            <w:szCs w:val="20"/>
                          </w:rPr>
                          <w:lastRenderedPageBreak/>
                          <w:t>consider proposals for the compensation to be paid under the contract only during competitive negotiations under subsection (5).</w:t>
                        </w:r>
                      </w:p>
                      <w:p w14:paraId="3BE0FB96"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This subsection does not apply to a professional service contract for a project the basic construction cost of which is estimated by the agency to be not in excess of the threshold amount provided in s. </w:t>
                        </w:r>
                        <w:hyperlink r:id="rId30" w:history="1">
                          <w:r w:rsidRPr="007F2BB3">
                            <w:rPr>
                              <w:rFonts w:ascii="Verdana" w:eastAsia="Times New Roman" w:hAnsi="Verdana" w:cs="Times New Roman"/>
                              <w:color w:val="0000FF"/>
                              <w:sz w:val="20"/>
                              <w:szCs w:val="20"/>
                              <w:u w:val="single"/>
                            </w:rPr>
                            <w:t>287.017</w:t>
                          </w:r>
                        </w:hyperlink>
                        <w:r w:rsidRPr="007F2BB3">
                          <w:rPr>
                            <w:rFonts w:ascii="Verdana" w:eastAsia="Times New Roman" w:hAnsi="Verdana" w:cs="Times New Roman"/>
                            <w:color w:val="000080"/>
                            <w:sz w:val="20"/>
                            <w:szCs w:val="20"/>
                          </w:rPr>
                          <w:t xml:space="preserve"> for CATEGORY FIVE or for a planning or study activity when the fee for professional services is not in excess of the threshold amount provided in s. </w:t>
                        </w:r>
                        <w:hyperlink r:id="rId31" w:history="1">
                          <w:r w:rsidRPr="007F2BB3">
                            <w:rPr>
                              <w:rFonts w:ascii="Verdana" w:eastAsia="Times New Roman" w:hAnsi="Verdana" w:cs="Times New Roman"/>
                              <w:color w:val="0000FF"/>
                              <w:sz w:val="20"/>
                              <w:szCs w:val="20"/>
                              <w:u w:val="single"/>
                            </w:rPr>
                            <w:t>287.017</w:t>
                          </w:r>
                        </w:hyperlink>
                        <w:r w:rsidRPr="007F2BB3">
                          <w:rPr>
                            <w:rFonts w:ascii="Verdana" w:eastAsia="Times New Roman" w:hAnsi="Verdana" w:cs="Times New Roman"/>
                            <w:color w:val="000080"/>
                            <w:sz w:val="20"/>
                            <w:szCs w:val="20"/>
                          </w:rPr>
                          <w:t xml:space="preserve"> for CATEGORY TWO. However, if, in using another procurement process, </w:t>
                        </w:r>
                        <w:proofErr w:type="gramStart"/>
                        <w:r w:rsidRPr="007F2BB3">
                          <w:rPr>
                            <w:rFonts w:ascii="Verdana" w:eastAsia="Times New Roman" w:hAnsi="Verdana" w:cs="Times New Roman"/>
                            <w:color w:val="000080"/>
                            <w:sz w:val="20"/>
                            <w:szCs w:val="20"/>
                          </w:rPr>
                          <w:t>the majority of</w:t>
                        </w:r>
                        <w:proofErr w:type="gramEnd"/>
                        <w:r w:rsidRPr="007F2BB3">
                          <w:rPr>
                            <w:rFonts w:ascii="Verdana" w:eastAsia="Times New Roman" w:hAnsi="Verdana" w:cs="Times New Roman"/>
                            <w:color w:val="000080"/>
                            <w:sz w:val="20"/>
                            <w:szCs w:val="20"/>
                          </w:rPr>
                          <w:t xml:space="preserve"> the compensation proposed by firms is in excess of the appropriate threshold amount, the agency shall reject all proposals and reinitiate the procurement pursuant to this subsection.</w:t>
                        </w:r>
                      </w:p>
                      <w:p w14:paraId="412087A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(d)</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Nothing in this act shall be construed to prohibit a continuing contract between a firm and an agency.</w:t>
                        </w:r>
                      </w:p>
                      <w:p w14:paraId="1801DE0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(5)</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COMPETITIVE </w:t>
                        </w:r>
                        <w:proofErr w:type="gramStart"/>
                        <w:r w:rsidRPr="007F2BB3">
                          <w:rPr>
                            <w:rFonts w:ascii="Verdana" w:eastAsia="Times New Roman" w:hAnsi="Verdana" w:cs="Times New Roman"/>
                            <w:color w:val="000080"/>
                            <w:sz w:val="20"/>
                            <w:szCs w:val="20"/>
                          </w:rPr>
                          <w:t>NEGOTIATION.—</w:t>
                        </w:r>
                        <w:proofErr w:type="gramEnd"/>
                      </w:p>
                      <w:p w14:paraId="1AB06946"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The agency shall negotiate a contract with the most qualified firm for professional services at compensation which the agency determines is fair, competitive, and reasonable. In making such determination, the agency shall conduct a detailed analysis of the cost of the professional services required in addition to considering their scope and complexity. For any lump-sum or cost-plus-a-fixed-fee professional service contract over the threshold amount provided in s. </w:t>
                        </w:r>
                        <w:hyperlink r:id="rId32" w:history="1">
                          <w:r w:rsidRPr="007F2BB3">
                            <w:rPr>
                              <w:rFonts w:ascii="Verdana" w:eastAsia="Times New Roman" w:hAnsi="Verdana" w:cs="Times New Roman"/>
                              <w:color w:val="0000FF"/>
                              <w:sz w:val="20"/>
                              <w:szCs w:val="20"/>
                              <w:u w:val="single"/>
                            </w:rPr>
                            <w:t>287.017</w:t>
                          </w:r>
                        </w:hyperlink>
                        <w:r w:rsidRPr="007F2BB3">
                          <w:rPr>
                            <w:rFonts w:ascii="Verdana" w:eastAsia="Times New Roman" w:hAnsi="Verdana" w:cs="Times New Roman"/>
                            <w:color w:val="000080"/>
                            <w:sz w:val="20"/>
                            <w:szCs w:val="20"/>
                          </w:rPr>
                          <w:t xml:space="preserve"> for CATEGORY FOUR, the agency shall require the firm receiving the award to execute a truth-in-negotiation certificate stating that wage rates and other factual unit costs supporting the compensation are accurate, complete, and current at the time of contracting. Any professional service contract under which such a certificate is required must contain a provision that the original contract price and any additions thereto will be adjusted to exclude any significant sums by which the agency determines the contract price was increased due to inaccurate, incomplete, or noncurrent wage rates and other factual unit costs. All such contract adjustments must be made within 1 year following the end of the contract.</w:t>
                        </w:r>
                      </w:p>
                      <w:p w14:paraId="7CC36004"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Should the agency be unable to negotiate a satisfactory contract with the firm considered to be the most qualified at a price the agency determines to be fair, competitive, and reasonable, negotiations with that firm must be formally terminated. The agency shall then undertake negotiations with the second most qualified firm. Failing accord with the second most qualified firm, the agency must terminate negotiations. The agency shall then undertake negotiations with the third most qualified firm.</w:t>
                        </w:r>
                      </w:p>
                      <w:p w14:paraId="6E47857E"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Should the agency be unable to negotiate a satisfactory contract with any of the selected firms, the agency shall select additional firms in the order of their competence and qualification and continue negotiations in accordance with this subsection until an agreement is reached.</w:t>
                        </w:r>
                      </w:p>
                      <w:p w14:paraId="48D91F58"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(6)</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PROHIBITION AGAINST CONTINGENT </w:t>
                        </w:r>
                        <w:proofErr w:type="gramStart"/>
                        <w:r w:rsidRPr="007F2BB3">
                          <w:rPr>
                            <w:rFonts w:ascii="Verdana" w:eastAsia="Times New Roman" w:hAnsi="Verdana" w:cs="Times New Roman"/>
                            <w:color w:val="000080"/>
                            <w:sz w:val="20"/>
                            <w:szCs w:val="20"/>
                          </w:rPr>
                          <w:t>FEES.—</w:t>
                        </w:r>
                        <w:proofErr w:type="gramEnd"/>
                      </w:p>
                      <w:p w14:paraId="4C945473"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Each contract entered into by the agency for professional services must contain a prohibition against contingent fees as follows: “The architect (or registered surveyor and mapper or professional engineer, as applicable) warrants that he or she has not employed or retained any company or person, other than a bona fide employee working solely for the architect (or registered surveyor and mapper, or professional engineer, as applicable) to solicit or secure this agreement and that he or she has not paid or agreed to pay any person, company, corporation, individual, or firm, other than a bona fide employee working solely for the architect (or registered surveyor and mapper or professional engineer, as applicable) any fee, commission, percentage, gift, or other consideration contingent upon or resulting from the award or making of this agreement.” For the breach or violation of this provision, the agency shall have the right to terminate </w:t>
                        </w:r>
                        <w:r w:rsidRPr="007F2BB3">
                          <w:rPr>
                            <w:rFonts w:ascii="Verdana" w:eastAsia="Times New Roman" w:hAnsi="Verdana" w:cs="Times New Roman"/>
                            <w:color w:val="000080"/>
                            <w:sz w:val="20"/>
                            <w:szCs w:val="20"/>
                          </w:rPr>
                          <w:lastRenderedPageBreak/>
                          <w:t>the agreement without liability and, at its discretion, to deduct from the contract price, or otherwise recover, the full amount of such fee, commission, percentage, gift, or consideration.</w:t>
                        </w:r>
                      </w:p>
                      <w:p w14:paraId="7178A5A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Any individual, corporation, partnership, firm, or company, other than a bona fide employee working solely for an architect, professional engineer, or registered land surveyor and mapper, who offers, agrees, or contracts to solicit or secure agency contracts for professional services for any other individual, company, corporation, partnership, or firm and to be paid, or is paid, any fee, commission, percentage, gift, or other consideration contingent upon, or resulting from, the award or the making of a contract for professional services shall, upon conviction in a competent court of this state, be found guilty of a first degree misdemeanor, punishable as provided in s. </w:t>
                        </w:r>
                        <w:hyperlink r:id="rId33" w:history="1">
                          <w:r w:rsidRPr="007F2BB3">
                            <w:rPr>
                              <w:rFonts w:ascii="Verdana" w:eastAsia="Times New Roman" w:hAnsi="Verdana" w:cs="Times New Roman"/>
                              <w:color w:val="0000FF"/>
                              <w:sz w:val="20"/>
                              <w:szCs w:val="20"/>
                              <w:u w:val="single"/>
                            </w:rPr>
                            <w:t>775.082</w:t>
                          </w:r>
                        </w:hyperlink>
                        <w:r w:rsidRPr="007F2BB3">
                          <w:rPr>
                            <w:rFonts w:ascii="Verdana" w:eastAsia="Times New Roman" w:hAnsi="Verdana" w:cs="Times New Roman"/>
                            <w:color w:val="000080"/>
                            <w:sz w:val="20"/>
                            <w:szCs w:val="20"/>
                          </w:rPr>
                          <w:t xml:space="preserve"> or s. </w:t>
                        </w:r>
                        <w:hyperlink r:id="rId34" w:history="1">
                          <w:r w:rsidRPr="007F2BB3">
                            <w:rPr>
                              <w:rFonts w:ascii="Verdana" w:eastAsia="Times New Roman" w:hAnsi="Verdana" w:cs="Times New Roman"/>
                              <w:color w:val="0000FF"/>
                              <w:sz w:val="20"/>
                              <w:szCs w:val="20"/>
                              <w:u w:val="single"/>
                            </w:rPr>
                            <w:t>775.083</w:t>
                          </w:r>
                        </w:hyperlink>
                        <w:r w:rsidRPr="007F2BB3">
                          <w:rPr>
                            <w:rFonts w:ascii="Verdana" w:eastAsia="Times New Roman" w:hAnsi="Verdana" w:cs="Times New Roman"/>
                            <w:color w:val="000080"/>
                            <w:sz w:val="20"/>
                            <w:szCs w:val="20"/>
                          </w:rPr>
                          <w:t>.</w:t>
                        </w:r>
                      </w:p>
                      <w:p w14:paraId="3C78DF40"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Any architect, professional engineer, or registered surveyor and mapper, or any group, association, company, corporation, firm, or partnership thereof, who offers to pay, or pays, any fee, commission, percentage, gift, or other consideration contingent upon, or resulting from, the award or making of any agency contract for professional services shall, upon conviction in a state court of competent authority, be found guilty of a first degree misdemeanor, punishable as provided in s. </w:t>
                        </w:r>
                        <w:hyperlink r:id="rId35" w:history="1">
                          <w:r w:rsidRPr="007F2BB3">
                            <w:rPr>
                              <w:rFonts w:ascii="Verdana" w:eastAsia="Times New Roman" w:hAnsi="Verdana" w:cs="Times New Roman"/>
                              <w:color w:val="0000FF"/>
                              <w:sz w:val="20"/>
                              <w:szCs w:val="20"/>
                              <w:u w:val="single"/>
                            </w:rPr>
                            <w:t>775.082</w:t>
                          </w:r>
                        </w:hyperlink>
                        <w:r w:rsidRPr="007F2BB3">
                          <w:rPr>
                            <w:rFonts w:ascii="Verdana" w:eastAsia="Times New Roman" w:hAnsi="Verdana" w:cs="Times New Roman"/>
                            <w:color w:val="000080"/>
                            <w:sz w:val="20"/>
                            <w:szCs w:val="20"/>
                          </w:rPr>
                          <w:t xml:space="preserve"> or s. </w:t>
                        </w:r>
                        <w:hyperlink r:id="rId36" w:history="1">
                          <w:r w:rsidRPr="007F2BB3">
                            <w:rPr>
                              <w:rFonts w:ascii="Verdana" w:eastAsia="Times New Roman" w:hAnsi="Verdana" w:cs="Times New Roman"/>
                              <w:color w:val="0000FF"/>
                              <w:sz w:val="20"/>
                              <w:szCs w:val="20"/>
                              <w:u w:val="single"/>
                            </w:rPr>
                            <w:t>775.083</w:t>
                          </w:r>
                        </w:hyperlink>
                        <w:r w:rsidRPr="007F2BB3">
                          <w:rPr>
                            <w:rFonts w:ascii="Verdana" w:eastAsia="Times New Roman" w:hAnsi="Verdana" w:cs="Times New Roman"/>
                            <w:color w:val="000080"/>
                            <w:sz w:val="20"/>
                            <w:szCs w:val="20"/>
                          </w:rPr>
                          <w:t>.</w:t>
                        </w:r>
                      </w:p>
                      <w:p w14:paraId="04196867"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(d)</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Any agency official who offers to solicit or secure, or solicits or secures, a contract for professional services and to be paid, or is paid, any fee, commission, percentage, gift, or other consideration contingent upon the award or making of such a contract for professional services between the agency and any individual person, company, firm, partnership, or corporation shall, upon conviction by a court of competent authority, be found guilty of a first degree misdemeanor, punishable as provided in s. </w:t>
                        </w:r>
                        <w:hyperlink r:id="rId37" w:history="1">
                          <w:r w:rsidRPr="007F2BB3">
                            <w:rPr>
                              <w:rFonts w:ascii="Verdana" w:eastAsia="Times New Roman" w:hAnsi="Verdana" w:cs="Times New Roman"/>
                              <w:color w:val="0000FF"/>
                              <w:sz w:val="20"/>
                              <w:szCs w:val="20"/>
                              <w:u w:val="single"/>
                            </w:rPr>
                            <w:t>775.082</w:t>
                          </w:r>
                        </w:hyperlink>
                        <w:r w:rsidRPr="007F2BB3">
                          <w:rPr>
                            <w:rFonts w:ascii="Verdana" w:eastAsia="Times New Roman" w:hAnsi="Verdana" w:cs="Times New Roman"/>
                            <w:color w:val="000080"/>
                            <w:sz w:val="20"/>
                            <w:szCs w:val="20"/>
                          </w:rPr>
                          <w:t xml:space="preserve"> or s. </w:t>
                        </w:r>
                        <w:hyperlink r:id="rId38" w:history="1">
                          <w:r w:rsidRPr="007F2BB3">
                            <w:rPr>
                              <w:rFonts w:ascii="Verdana" w:eastAsia="Times New Roman" w:hAnsi="Verdana" w:cs="Times New Roman"/>
                              <w:color w:val="0000FF"/>
                              <w:sz w:val="20"/>
                              <w:szCs w:val="20"/>
                              <w:u w:val="single"/>
                            </w:rPr>
                            <w:t>775.083</w:t>
                          </w:r>
                        </w:hyperlink>
                        <w:r w:rsidRPr="007F2BB3">
                          <w:rPr>
                            <w:rFonts w:ascii="Verdana" w:eastAsia="Times New Roman" w:hAnsi="Verdana" w:cs="Times New Roman"/>
                            <w:color w:val="000080"/>
                            <w:sz w:val="20"/>
                            <w:szCs w:val="20"/>
                          </w:rPr>
                          <w:t>.</w:t>
                        </w:r>
                      </w:p>
                      <w:p w14:paraId="5DC6FC33"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(7)</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AUTHORITY OF DEPARTMENT OF MANAGEMENT SERVICES.—Notwithstanding any other provision of this section, the Department of Management Services shall be the agency of state government which is solely and exclusively authorized and empowered to administer and perform the functions described in subsections (3), (4), and (5) respecting all projects for which the funds necessary to complete same are appropriated to the Department of Management Services, irrespective of whether such projects are intended for the use and benefit of the Department of Management Services or any other agency of government. However, nothing herein shall be construed to be in derogation of any authority conferred on the Department of Management Services by other express provisions of law. Additionally, any agency of government may, with the approval of the Department of Management Services, delegate to the Department of Management Services authority to administer and perform the functions described in subsections (3), (4), and (5). Under the terms of the delegation, the agency may reserve its right to accept or reject a proposed contract.</w:t>
                        </w:r>
                      </w:p>
                      <w:p w14:paraId="35C626F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(8)</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STATE ASSISTANCE TO LOCAL AGENCIES.—On any professional service contract for which the fee is over $25,000, the Department of Transportation or the Department of Management Services shall provide, upon request by a municipality, political subdivision, school board, or school district, and upon reimbursement of the costs involved, assistance in selecting consultants and in negotiating consultant contracts.</w:t>
                        </w:r>
                      </w:p>
                      <w:p w14:paraId="0DD2986C"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(9)</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APPLICABILITY TO DESIGN-BUILD </w:t>
                        </w:r>
                        <w:proofErr w:type="gramStart"/>
                        <w:r w:rsidRPr="007F2BB3">
                          <w:rPr>
                            <w:rFonts w:ascii="Verdana" w:eastAsia="Times New Roman" w:hAnsi="Verdana" w:cs="Times New Roman"/>
                            <w:color w:val="000080"/>
                            <w:sz w:val="20"/>
                            <w:szCs w:val="20"/>
                          </w:rPr>
                          <w:t>CONTRACTS.—</w:t>
                        </w:r>
                        <w:proofErr w:type="gramEnd"/>
                      </w:p>
                      <w:p w14:paraId="632E18E9"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(a)</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Except as provided in this subsection, this section is not applicable to the procurement of design-build contracts by any agency, and the agency must award design-build contracts in accordance with the procurement laws, rules, and ordinances applicable to the agency.</w:t>
                        </w:r>
                      </w:p>
                      <w:p w14:paraId="7A7E8CE4"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lastRenderedPageBreak/>
                          <w:t>(b)</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design criteria package must be prepared and sealed by a design criteria professional employed by or retained by the agency. If the agency elects to enter into a professional services contract for the preparation of the design criteria package, then the design criteria professional must be selected and contracted with under the requirements of subsections (4) and (5). A design criteria professional who has been selected to prepare the design criteria package is not eligible to render services under a design-build contract executed pursuant to the design criteria package.</w:t>
                        </w:r>
                      </w:p>
                      <w:p w14:paraId="63EFF665"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(c)</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Except as otherwise provided in s. </w:t>
                        </w:r>
                        <w:hyperlink r:id="rId39" w:history="1">
                          <w:r w:rsidRPr="007F2BB3">
                            <w:rPr>
                              <w:rFonts w:ascii="Verdana" w:eastAsia="Times New Roman" w:hAnsi="Verdana" w:cs="Times New Roman"/>
                              <w:color w:val="0000FF"/>
                              <w:sz w:val="20"/>
                              <w:szCs w:val="20"/>
                              <w:u w:val="single"/>
                            </w:rPr>
                            <w:t>337.11</w:t>
                          </w:r>
                        </w:hyperlink>
                        <w:r w:rsidRPr="007F2BB3">
                          <w:rPr>
                            <w:rFonts w:ascii="Verdana" w:eastAsia="Times New Roman" w:hAnsi="Verdana" w:cs="Times New Roman"/>
                            <w:color w:val="000080"/>
                            <w:sz w:val="20"/>
                            <w:szCs w:val="20"/>
                          </w:rPr>
                          <w:t>(7), the Department of Management Services shall adopt rules for the award of design-build contracts to be followed by state agencies. Each other agency must adopt rules or ordinances for the award of design-build contracts. Municipalities, political subdivisions, school districts, and school boards shall award design-build contracts by the use of a competitive proposal selection process as described in this subsection, or by the use of a qualifications-based selection process pursuant to subsections (3), (4), and (5) for entering into a contract whereby the selected firm will, subsequent to competitive negotiations, establish a guaranteed maximum price and guaranteed completion date. If the procuring agency elects the option of qualifications-based selection, during the selection of the design-build firm the procuring agency shall employ or retain a licensed design professional appropriate to the project to serve as the agency’s representative. Procedures for the use of a competitive proposal selection process must include as a minimum the following:</w:t>
                        </w:r>
                      </w:p>
                      <w:p w14:paraId="07CC6C5E"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preparation of a design criteria package for the design and construction of the public construction project.</w:t>
                        </w:r>
                      </w:p>
                      <w:p w14:paraId="4866064C"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2.</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qualification and selection of no fewer than three design-build firms as the most qualified, based on the qualifications, availability, and past work of the firms, including the partners or members thereof.</w:t>
                        </w:r>
                      </w:p>
                      <w:p w14:paraId="0D0C7BA3"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3.</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criteria, procedures, and standards for the evaluation of design-build contract proposals or bids, based on price, technical, and design aspects of the public construction project, weighted for the project.</w:t>
                        </w:r>
                      </w:p>
                      <w:p w14:paraId="32EFD084"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4.</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The solicitation of competitive proposals, pursuant to a design criteria package, from those qualified design-build firms and the evaluation of the responses or bids submitted by those firms based on the evaluation criteria and procedures established prior to the solicitation of competitive proposals.</w:t>
                        </w:r>
                      </w:p>
                      <w:p w14:paraId="351F298D"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5.</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For consultation with the employed or retained design criteria professional concerning the evaluation of the responses or bids submitted by the design-build firms, the supervision or approval by the agency of the detailed working drawings of the project; and for evaluation of the compliance of the project construction with the design criteria package by the design criteria professional.</w:t>
                        </w:r>
                      </w:p>
                      <w:p w14:paraId="0789D8A6"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6.</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In the case of public emergencies, for the agency head to declare an emergency and authorize negotiations with the best qualified design-build firm available at that time.</w:t>
                        </w:r>
                      </w:p>
                      <w:p w14:paraId="4E490449"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(10)</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REUSE OF EXISTING PLANS.—Notwithstanding any other provision of this section, there shall be no public notice requirement or utilization of the selection process as provided in this section for projects in which the agency is able to reuse existing plans from a prior project of the agency, or, in the case of a board as defined in s. </w:t>
                        </w:r>
                        <w:hyperlink r:id="rId40" w:history="1">
                          <w:r w:rsidRPr="007F2BB3">
                            <w:rPr>
                              <w:rFonts w:ascii="Verdana" w:eastAsia="Times New Roman" w:hAnsi="Verdana" w:cs="Times New Roman"/>
                              <w:color w:val="0000FF"/>
                              <w:sz w:val="20"/>
                              <w:szCs w:val="20"/>
                              <w:u w:val="single"/>
                            </w:rPr>
                            <w:t>1013.01</w:t>
                          </w:r>
                        </w:hyperlink>
                        <w:r w:rsidRPr="007F2BB3">
                          <w:rPr>
                            <w:rFonts w:ascii="Verdana" w:eastAsia="Times New Roman" w:hAnsi="Verdana" w:cs="Times New Roman"/>
                            <w:color w:val="000080"/>
                            <w:sz w:val="20"/>
                            <w:szCs w:val="20"/>
                          </w:rPr>
                          <w:t xml:space="preserve">, a prior project of that or any other board. Except for plans of a board as defined in s. </w:t>
                        </w:r>
                        <w:hyperlink r:id="rId41" w:history="1">
                          <w:r w:rsidRPr="007F2BB3">
                            <w:rPr>
                              <w:rFonts w:ascii="Verdana" w:eastAsia="Times New Roman" w:hAnsi="Verdana" w:cs="Times New Roman"/>
                              <w:color w:val="0000FF"/>
                              <w:sz w:val="20"/>
                              <w:szCs w:val="20"/>
                              <w:u w:val="single"/>
                            </w:rPr>
                            <w:t>1013.01</w:t>
                          </w:r>
                        </w:hyperlink>
                        <w:r w:rsidRPr="007F2BB3">
                          <w:rPr>
                            <w:rFonts w:ascii="Verdana" w:eastAsia="Times New Roman" w:hAnsi="Verdana" w:cs="Times New Roman"/>
                            <w:color w:val="000080"/>
                            <w:sz w:val="20"/>
                            <w:szCs w:val="20"/>
                          </w:rPr>
                          <w:t>, public notice for any plans that are intended to be reused at some future time must contain a statement that provides that the plans are subject to reuse in accordance with the provisions of this subsection.</w:t>
                        </w:r>
                      </w:p>
                      <w:p w14:paraId="62365642"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t>(11)</w:t>
                        </w:r>
                        <w:r w:rsidRPr="007F2BB3">
                          <w:rPr>
                            <w:rFonts w:ascii="Verdana" w:eastAsia="Times New Roman" w:hAnsi="Verdana" w:cs="Times New Roman"/>
                            <w:color w:val="000080"/>
                            <w:sz w:val="20"/>
                            <w:szCs w:val="20"/>
                          </w:rPr>
                          <w:t> </w:t>
                        </w:r>
                        <w:r w:rsidRPr="007F2BB3">
                          <w:rPr>
                            <w:rFonts w:ascii="Verdana" w:eastAsia="Times New Roman" w:hAnsi="Verdana" w:cs="Times New Roman"/>
                            <w:color w:val="000080"/>
                            <w:sz w:val="20"/>
                            <w:szCs w:val="20"/>
                          </w:rPr>
                          <w:t xml:space="preserve">CONSTRUCTION OF LAW.—Nothing in the amendment of this section by chapter 75-281, Laws of Florida, is intended to supersede the provisions of ss. </w:t>
                        </w:r>
                        <w:hyperlink r:id="rId42" w:history="1">
                          <w:r w:rsidRPr="007F2BB3">
                            <w:rPr>
                              <w:rFonts w:ascii="Verdana" w:eastAsia="Times New Roman" w:hAnsi="Verdana" w:cs="Times New Roman"/>
                              <w:color w:val="0000FF"/>
                              <w:sz w:val="20"/>
                              <w:szCs w:val="20"/>
                              <w:u w:val="single"/>
                            </w:rPr>
                            <w:t>1013.45</w:t>
                          </w:r>
                        </w:hyperlink>
                        <w:r w:rsidRPr="007F2BB3">
                          <w:rPr>
                            <w:rFonts w:ascii="Verdana" w:eastAsia="Times New Roman" w:hAnsi="Verdana" w:cs="Times New Roman"/>
                            <w:color w:val="000080"/>
                            <w:sz w:val="20"/>
                            <w:szCs w:val="20"/>
                          </w:rPr>
                          <w:t xml:space="preserve"> and </w:t>
                        </w:r>
                        <w:hyperlink r:id="rId43" w:history="1">
                          <w:r w:rsidRPr="007F2BB3">
                            <w:rPr>
                              <w:rFonts w:ascii="Verdana" w:eastAsia="Times New Roman" w:hAnsi="Verdana" w:cs="Times New Roman"/>
                              <w:color w:val="0000FF"/>
                              <w:sz w:val="20"/>
                              <w:szCs w:val="20"/>
                              <w:u w:val="single"/>
                            </w:rPr>
                            <w:t>1013.46</w:t>
                          </w:r>
                        </w:hyperlink>
                        <w:r w:rsidRPr="007F2BB3">
                          <w:rPr>
                            <w:rFonts w:ascii="Verdana" w:eastAsia="Times New Roman" w:hAnsi="Verdana" w:cs="Times New Roman"/>
                            <w:color w:val="000080"/>
                            <w:sz w:val="20"/>
                            <w:szCs w:val="20"/>
                          </w:rPr>
                          <w:t>.</w:t>
                        </w:r>
                      </w:p>
                      <w:p w14:paraId="599817D6" w14:textId="77777777" w:rsidR="007F2BB3" w:rsidRPr="007F2BB3" w:rsidRDefault="007F2BB3" w:rsidP="007F2BB3">
                        <w:pPr>
                          <w:spacing w:after="0" w:line="240" w:lineRule="auto"/>
                          <w:rPr>
                            <w:rFonts w:ascii="Verdana" w:eastAsia="Times New Roman" w:hAnsi="Verdana" w:cs="Times New Roman"/>
                            <w:color w:val="000080"/>
                            <w:sz w:val="20"/>
                            <w:szCs w:val="20"/>
                          </w:rPr>
                        </w:pPr>
                        <w:r w:rsidRPr="007F2BB3">
                          <w:rPr>
                            <w:rFonts w:ascii="Verdana" w:eastAsia="Times New Roman" w:hAnsi="Verdana" w:cs="Times New Roman"/>
                            <w:color w:val="000080"/>
                            <w:sz w:val="20"/>
                            <w:szCs w:val="20"/>
                          </w:rPr>
                          <w:lastRenderedPageBreak/>
                          <w:t xml:space="preserve">History.—ss. 1, 2, 3, 4, 5, 6, 7, 8,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73-19; ss. 1, 2, 3,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75-281;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77-174;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77-199; s. 10,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84-321; ss. 23, 32,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85-104; s. 57,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85-349; s. 6,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86-204;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88-108;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89-158; s. 16,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90-268; s. 15,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91-137; s. 7,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91-162; s. 250,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92-279; s. 55,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92-326;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93-95; s. 114,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94-119; s. 10,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94-322; s. 868,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95-148; s. 2,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95-410; s. 45,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96-399; s. 38,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97-100;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97-296; s. 80,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98-279; s. 55,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2001-61; s. 63,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2002-20; s. 944,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2002-387; s. 1,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2005-224; s. 19,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2007-157; s. 3,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2007-159; s. 3, </w:t>
                        </w:r>
                        <w:proofErr w:type="spellStart"/>
                        <w:r w:rsidRPr="007F2BB3">
                          <w:rPr>
                            <w:rFonts w:ascii="Verdana" w:eastAsia="Times New Roman" w:hAnsi="Verdana" w:cs="Times New Roman"/>
                            <w:color w:val="000080"/>
                            <w:sz w:val="20"/>
                            <w:szCs w:val="20"/>
                          </w:rPr>
                          <w:t>ch.</w:t>
                        </w:r>
                        <w:proofErr w:type="spellEnd"/>
                        <w:r w:rsidRPr="007F2BB3">
                          <w:rPr>
                            <w:rFonts w:ascii="Verdana" w:eastAsia="Times New Roman" w:hAnsi="Verdana" w:cs="Times New Roman"/>
                            <w:color w:val="000080"/>
                            <w:sz w:val="20"/>
                            <w:szCs w:val="20"/>
                          </w:rPr>
                          <w:t xml:space="preserve"> 2009-227.</w:t>
                        </w:r>
                      </w:p>
                    </w:tc>
                  </w:tr>
                </w:tbl>
                <w:p w14:paraId="73E04414" w14:textId="77777777" w:rsidR="007F2BB3" w:rsidRPr="007F2BB3" w:rsidRDefault="007F2BB3" w:rsidP="007F2BB3">
                  <w:pPr>
                    <w:spacing w:after="0" w:line="240" w:lineRule="auto"/>
                    <w:rPr>
                      <w:rFonts w:ascii="Trebuchet MS" w:eastAsia="Times New Roman" w:hAnsi="Trebuchet MS" w:cs="Times New Roman"/>
                      <w:color w:val="000080"/>
                      <w:sz w:val="20"/>
                      <w:szCs w:val="20"/>
                    </w:rPr>
                  </w:pPr>
                </w:p>
              </w:tc>
            </w:tr>
          </w:tbl>
          <w:p w14:paraId="15549F7C" w14:textId="77777777" w:rsidR="007F2BB3" w:rsidRPr="007F2BB3" w:rsidRDefault="007F2BB3" w:rsidP="007F2BB3">
            <w:pPr>
              <w:spacing w:after="0" w:line="360" w:lineRule="atLeast"/>
              <w:rPr>
                <w:rFonts w:ascii="Trebuchet MS" w:eastAsia="Times New Roman" w:hAnsi="Trebuchet MS" w:cs="Times New Roman"/>
                <w:color w:val="000080"/>
                <w:sz w:val="20"/>
                <w:szCs w:val="20"/>
              </w:rPr>
            </w:pPr>
          </w:p>
        </w:tc>
      </w:tr>
      <w:tr w:rsidR="007F2BB3" w:rsidRPr="007F2BB3" w14:paraId="19630017" w14:textId="77777777" w:rsidTr="007F2BB3">
        <w:trPr>
          <w:trHeight w:val="465"/>
          <w:tblCellSpacing w:w="0" w:type="dxa"/>
        </w:trPr>
        <w:tc>
          <w:tcPr>
            <w:tcW w:w="11400" w:type="dxa"/>
            <w:gridSpan w:val="2"/>
            <w:tcMar>
              <w:top w:w="30" w:type="dxa"/>
              <w:left w:w="0" w:type="dxa"/>
              <w:bottom w:w="0" w:type="dxa"/>
              <w:right w:w="0" w:type="dxa"/>
            </w:tcMar>
            <w:hideMark/>
          </w:tcPr>
          <w:p w14:paraId="74B9DD12" w14:textId="77777777" w:rsidR="007F2BB3" w:rsidRPr="007F2BB3" w:rsidRDefault="007F2BB3" w:rsidP="007F2BB3">
            <w:pPr>
              <w:spacing w:after="0" w:line="240" w:lineRule="auto"/>
              <w:jc w:val="center"/>
              <w:rPr>
                <w:rFonts w:ascii="Trebuchet MS" w:eastAsia="Times New Roman" w:hAnsi="Trebuchet MS" w:cs="Times New Roman"/>
                <w:color w:val="FFFFFF"/>
                <w:sz w:val="18"/>
                <w:szCs w:val="18"/>
              </w:rPr>
            </w:pPr>
            <w:r w:rsidRPr="007F2BB3">
              <w:rPr>
                <w:rFonts w:ascii="Trebuchet MS" w:eastAsia="Times New Roman" w:hAnsi="Trebuchet MS" w:cs="Times New Roman"/>
                <w:color w:val="FFFFFF"/>
                <w:sz w:val="18"/>
                <w:szCs w:val="18"/>
              </w:rPr>
              <w:lastRenderedPageBreak/>
              <w:t xml:space="preserve">Copyright © 1995-2019 The Florida Legislature • </w:t>
            </w:r>
            <w:hyperlink r:id="rId44" w:history="1">
              <w:r w:rsidRPr="007F2BB3">
                <w:rPr>
                  <w:rFonts w:ascii="Trebuchet MS" w:eastAsia="Times New Roman" w:hAnsi="Trebuchet MS" w:cs="Times New Roman"/>
                  <w:color w:val="FFFFFF"/>
                  <w:sz w:val="18"/>
                  <w:szCs w:val="18"/>
                  <w:u w:val="single"/>
                </w:rPr>
                <w:t>Privacy Statement</w:t>
              </w:r>
            </w:hyperlink>
            <w:r w:rsidRPr="007F2BB3">
              <w:rPr>
                <w:rFonts w:ascii="Trebuchet MS" w:eastAsia="Times New Roman" w:hAnsi="Trebuchet MS" w:cs="Times New Roman"/>
                <w:color w:val="FFFFFF"/>
                <w:sz w:val="18"/>
                <w:szCs w:val="18"/>
              </w:rPr>
              <w:t xml:space="preserve"> • </w:t>
            </w:r>
            <w:hyperlink r:id="rId45" w:history="1">
              <w:r w:rsidRPr="007F2BB3">
                <w:rPr>
                  <w:rFonts w:ascii="Trebuchet MS" w:eastAsia="Times New Roman" w:hAnsi="Trebuchet MS" w:cs="Times New Roman"/>
                  <w:color w:val="FFFFFF"/>
                  <w:sz w:val="18"/>
                  <w:szCs w:val="18"/>
                  <w:u w:val="single"/>
                </w:rPr>
                <w:t>Contact Us</w:t>
              </w:r>
            </w:hyperlink>
          </w:p>
        </w:tc>
      </w:tr>
    </w:tbl>
    <w:p w14:paraId="4BB035AA" w14:textId="33954573" w:rsidR="007F2BB3" w:rsidRDefault="007F2BB3">
      <w:pPr>
        <w:rPr>
          <w:b/>
        </w:rPr>
      </w:pPr>
    </w:p>
    <w:p w14:paraId="31F409A4" w14:textId="629B8755" w:rsidR="00905564" w:rsidRDefault="00905564">
      <w:pPr>
        <w:rPr>
          <w:rFonts w:ascii="Times New Roman" w:hAnsi="Times New Roman" w:cs="Times New Roman"/>
          <w:sz w:val="28"/>
          <w:szCs w:val="28"/>
        </w:rPr>
      </w:pPr>
      <w:r>
        <w:rPr>
          <w:rFonts w:ascii="Times New Roman" w:hAnsi="Times New Roman" w:cs="Times New Roman"/>
          <w:b/>
          <w:sz w:val="28"/>
          <w:szCs w:val="28"/>
        </w:rPr>
        <w:t>Statute of Frauds</w:t>
      </w:r>
    </w:p>
    <w:p w14:paraId="03A3AD85" w14:textId="15D6A97E" w:rsidR="00905564" w:rsidRDefault="00905564" w:rsidP="0090556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Defense to enforcement of contract where any of the following:</w:t>
      </w:r>
    </w:p>
    <w:p w14:paraId="673104D0" w14:textId="585EE1E4" w:rsidR="00905564" w:rsidRDefault="00905564" w:rsidP="00905564">
      <w:pPr>
        <w:pStyle w:val="ListParagraph"/>
        <w:numPr>
          <w:ilvl w:val="1"/>
          <w:numId w:val="1"/>
        </w:numPr>
        <w:rPr>
          <w:rFonts w:ascii="Times New Roman" w:hAnsi="Times New Roman" w:cs="Times New Roman"/>
          <w:sz w:val="28"/>
          <w:szCs w:val="28"/>
        </w:rPr>
      </w:pPr>
      <w:r>
        <w:rPr>
          <w:rFonts w:ascii="Times New Roman" w:hAnsi="Times New Roman" w:cs="Times New Roman"/>
          <w:sz w:val="28"/>
          <w:szCs w:val="28"/>
        </w:rPr>
        <w:t>Promises creating interest in land</w:t>
      </w:r>
    </w:p>
    <w:p w14:paraId="4B0CDA78" w14:textId="564E8610" w:rsidR="00905564" w:rsidRDefault="00905564" w:rsidP="00905564">
      <w:pPr>
        <w:pStyle w:val="ListParagraph"/>
        <w:numPr>
          <w:ilvl w:val="1"/>
          <w:numId w:val="1"/>
        </w:numPr>
        <w:rPr>
          <w:rFonts w:ascii="Times New Roman" w:hAnsi="Times New Roman" w:cs="Times New Roman"/>
          <w:sz w:val="28"/>
          <w:szCs w:val="28"/>
        </w:rPr>
      </w:pPr>
      <w:r>
        <w:rPr>
          <w:rFonts w:ascii="Times New Roman" w:hAnsi="Times New Roman" w:cs="Times New Roman"/>
          <w:sz w:val="28"/>
          <w:szCs w:val="28"/>
        </w:rPr>
        <w:t>Promises cannot be performed in one year</w:t>
      </w:r>
    </w:p>
    <w:p w14:paraId="3686A2E7" w14:textId="752058B4" w:rsidR="00905564" w:rsidRPr="00905564" w:rsidRDefault="00905564" w:rsidP="00905564">
      <w:pPr>
        <w:pStyle w:val="ListParagraph"/>
        <w:numPr>
          <w:ilvl w:val="1"/>
          <w:numId w:val="1"/>
        </w:numPr>
        <w:rPr>
          <w:rFonts w:ascii="Times New Roman" w:hAnsi="Times New Roman" w:cs="Times New Roman"/>
          <w:sz w:val="28"/>
          <w:szCs w:val="28"/>
        </w:rPr>
      </w:pPr>
      <w:r>
        <w:rPr>
          <w:rFonts w:ascii="Times New Roman" w:hAnsi="Times New Roman" w:cs="Times New Roman"/>
          <w:sz w:val="28"/>
          <w:szCs w:val="28"/>
        </w:rPr>
        <w:t>Promises to pay for debt of another</w:t>
      </w:r>
    </w:p>
    <w:p w14:paraId="775F04C6" w14:textId="035DBC31" w:rsidR="00905564" w:rsidRDefault="00905564" w:rsidP="00905564">
      <w:pPr>
        <w:pStyle w:val="ListParagraph"/>
        <w:numPr>
          <w:ilvl w:val="1"/>
          <w:numId w:val="1"/>
        </w:numPr>
        <w:rPr>
          <w:rFonts w:ascii="Times New Roman" w:hAnsi="Times New Roman" w:cs="Times New Roman"/>
          <w:sz w:val="28"/>
          <w:szCs w:val="28"/>
        </w:rPr>
      </w:pPr>
      <w:r>
        <w:rPr>
          <w:rFonts w:ascii="Times New Roman" w:hAnsi="Times New Roman" w:cs="Times New Roman"/>
          <w:sz w:val="28"/>
          <w:szCs w:val="28"/>
        </w:rPr>
        <w:t>Agreement for sale of goods for $500 or more except for specially manufactured goods, or partial payment or delivery was made or accepted</w:t>
      </w:r>
    </w:p>
    <w:p w14:paraId="3E09522F" w14:textId="74F7E54D" w:rsidR="00905564" w:rsidRDefault="00905564" w:rsidP="0090556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Relevant to change orders and amendments to contacts</w:t>
      </w:r>
    </w:p>
    <w:p w14:paraId="6524BB2C" w14:textId="218B9F06" w:rsidR="00905564" w:rsidRDefault="00905564" w:rsidP="00905564">
      <w:pPr>
        <w:rPr>
          <w:rFonts w:ascii="Times New Roman" w:hAnsi="Times New Roman" w:cs="Times New Roman"/>
          <w:sz w:val="28"/>
          <w:szCs w:val="28"/>
        </w:rPr>
      </w:pPr>
    </w:p>
    <w:p w14:paraId="046080A0" w14:textId="71C9D10D" w:rsidR="00905564" w:rsidRDefault="00905564" w:rsidP="00905564">
      <w:pPr>
        <w:rPr>
          <w:rFonts w:ascii="Times New Roman" w:hAnsi="Times New Roman" w:cs="Times New Roman"/>
          <w:sz w:val="28"/>
          <w:szCs w:val="28"/>
        </w:rPr>
      </w:pPr>
      <w:r>
        <w:rPr>
          <w:rFonts w:ascii="Times New Roman" w:hAnsi="Times New Roman" w:cs="Times New Roman"/>
          <w:b/>
          <w:sz w:val="28"/>
          <w:szCs w:val="28"/>
        </w:rPr>
        <w:t>Local Requirements</w:t>
      </w:r>
    </w:p>
    <w:p w14:paraId="6665D97B" w14:textId="55A2BEF7" w:rsidR="00905564" w:rsidRDefault="00905564" w:rsidP="00905564">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Local governments have broad discretion on contracting decisions; arbitrary and capricious standard</w:t>
      </w:r>
    </w:p>
    <w:p w14:paraId="5F84F840" w14:textId="2B1F399C" w:rsidR="00905564" w:rsidRDefault="00905564" w:rsidP="00905564">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Court cannot force negotiations with certain firm unless illegality, fraud, oppression, or misconduct found</w:t>
      </w:r>
    </w:p>
    <w:p w14:paraId="67F1DF66" w14:textId="5DB9556F" w:rsidR="00905564" w:rsidRDefault="00905564" w:rsidP="00905564">
      <w:pPr>
        <w:rPr>
          <w:rFonts w:ascii="Times New Roman" w:hAnsi="Times New Roman" w:cs="Times New Roman"/>
          <w:sz w:val="28"/>
          <w:szCs w:val="28"/>
        </w:rPr>
      </w:pPr>
      <w:r>
        <w:rPr>
          <w:rFonts w:ascii="Times New Roman" w:hAnsi="Times New Roman" w:cs="Times New Roman"/>
          <w:b/>
          <w:sz w:val="28"/>
          <w:szCs w:val="28"/>
        </w:rPr>
        <w:t>Competitive Bids</w:t>
      </w:r>
    </w:p>
    <w:p w14:paraId="2A0F78D0" w14:textId="580A309E" w:rsidR="00905564" w:rsidRDefault="00905564" w:rsidP="00905564">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Process is begun by invitation to bid (ITB)</w:t>
      </w:r>
    </w:p>
    <w:p w14:paraId="19F7F046" w14:textId="205E2FB4" w:rsidR="00905564" w:rsidRDefault="00905564" w:rsidP="00905564">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 xml:space="preserve">Fundamental award criteria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low price</w:t>
      </w:r>
    </w:p>
    <w:p w14:paraId="5858C556" w14:textId="30A52C0D" w:rsidR="00905564" w:rsidRDefault="00905564" w:rsidP="00905564">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Scope of work has precise specifications</w:t>
      </w:r>
    </w:p>
    <w:p w14:paraId="5A7849E0" w14:textId="648CA8C4" w:rsidR="00905564" w:rsidRDefault="00905564" w:rsidP="00905564">
      <w:pPr>
        <w:rPr>
          <w:rFonts w:ascii="Times New Roman" w:hAnsi="Times New Roman" w:cs="Times New Roman"/>
          <w:sz w:val="28"/>
          <w:szCs w:val="28"/>
        </w:rPr>
      </w:pPr>
    </w:p>
    <w:p w14:paraId="03334E89" w14:textId="2D8770B6" w:rsidR="00905564" w:rsidRDefault="00905564" w:rsidP="00905564">
      <w:pPr>
        <w:rPr>
          <w:rFonts w:ascii="Times New Roman" w:hAnsi="Times New Roman" w:cs="Times New Roman"/>
          <w:sz w:val="28"/>
          <w:szCs w:val="28"/>
        </w:rPr>
      </w:pPr>
      <w:r>
        <w:rPr>
          <w:rFonts w:ascii="Times New Roman" w:hAnsi="Times New Roman" w:cs="Times New Roman"/>
          <w:b/>
          <w:sz w:val="28"/>
          <w:szCs w:val="28"/>
        </w:rPr>
        <w:t>Competitive Proposals</w:t>
      </w:r>
    </w:p>
    <w:p w14:paraId="3FFBD354" w14:textId="04764C6E" w:rsidR="00905564" w:rsidRDefault="00905564" w:rsidP="00905564">
      <w:pPr>
        <w:pStyle w:val="ListParagraph"/>
        <w:numPr>
          <w:ilvl w:val="0"/>
          <w:numId w:val="4"/>
        </w:numPr>
        <w:rPr>
          <w:rFonts w:ascii="Times New Roman" w:hAnsi="Times New Roman" w:cs="Times New Roman"/>
          <w:sz w:val="28"/>
          <w:szCs w:val="28"/>
        </w:rPr>
      </w:pPr>
      <w:r>
        <w:rPr>
          <w:rFonts w:ascii="Times New Roman" w:hAnsi="Times New Roman" w:cs="Times New Roman"/>
          <w:sz w:val="28"/>
          <w:szCs w:val="28"/>
        </w:rPr>
        <w:t>Process is by Request for Proposal (RFP)</w:t>
      </w:r>
    </w:p>
    <w:p w14:paraId="495ECF42" w14:textId="5CA5FBAA" w:rsidR="00905564" w:rsidRDefault="00905564" w:rsidP="00905564">
      <w:pPr>
        <w:pStyle w:val="ListParagraph"/>
        <w:numPr>
          <w:ilvl w:val="0"/>
          <w:numId w:val="4"/>
        </w:numPr>
        <w:rPr>
          <w:rFonts w:ascii="Times New Roman" w:hAnsi="Times New Roman" w:cs="Times New Roman"/>
          <w:sz w:val="28"/>
          <w:szCs w:val="28"/>
        </w:rPr>
      </w:pPr>
      <w:r>
        <w:rPr>
          <w:rFonts w:ascii="Times New Roman" w:hAnsi="Times New Roman" w:cs="Times New Roman"/>
          <w:sz w:val="28"/>
          <w:szCs w:val="28"/>
        </w:rPr>
        <w:lastRenderedPageBreak/>
        <w:t>Used when ITB not practical, but possible to define specifically purposes and uses of good or services being sought</w:t>
      </w:r>
    </w:p>
    <w:p w14:paraId="66B49195" w14:textId="0ECDD054" w:rsidR="004C6BA8" w:rsidRDefault="004C6BA8" w:rsidP="00905564">
      <w:pPr>
        <w:pStyle w:val="ListParagraph"/>
        <w:numPr>
          <w:ilvl w:val="0"/>
          <w:numId w:val="4"/>
        </w:numPr>
        <w:rPr>
          <w:rFonts w:ascii="Times New Roman" w:hAnsi="Times New Roman" w:cs="Times New Roman"/>
          <w:sz w:val="28"/>
          <w:szCs w:val="28"/>
        </w:rPr>
      </w:pPr>
      <w:r>
        <w:rPr>
          <w:rFonts w:ascii="Times New Roman" w:hAnsi="Times New Roman" w:cs="Times New Roman"/>
          <w:sz w:val="28"/>
          <w:szCs w:val="28"/>
        </w:rPr>
        <w:t>Do not just consider price but also ability, experience and proposed solution.  Factors and relative weights used in evaluation must be disclosed</w:t>
      </w:r>
    </w:p>
    <w:p w14:paraId="08BDCDC8" w14:textId="34DC234C" w:rsidR="004C6BA8" w:rsidRDefault="004C6BA8" w:rsidP="00905564">
      <w:pPr>
        <w:pStyle w:val="ListParagraph"/>
        <w:numPr>
          <w:ilvl w:val="0"/>
          <w:numId w:val="4"/>
        </w:numPr>
        <w:rPr>
          <w:rFonts w:ascii="Times New Roman" w:hAnsi="Times New Roman" w:cs="Times New Roman"/>
          <w:sz w:val="28"/>
          <w:szCs w:val="28"/>
        </w:rPr>
      </w:pPr>
      <w:r>
        <w:rPr>
          <w:rFonts w:ascii="Times New Roman" w:hAnsi="Times New Roman" w:cs="Times New Roman"/>
          <w:sz w:val="28"/>
          <w:szCs w:val="28"/>
        </w:rPr>
        <w:t xml:space="preserve">Can negotiate with </w:t>
      </w:r>
      <w:proofErr w:type="gramStart"/>
      <w:r>
        <w:rPr>
          <w:rFonts w:ascii="Times New Roman" w:hAnsi="Times New Roman" w:cs="Times New Roman"/>
          <w:sz w:val="28"/>
          <w:szCs w:val="28"/>
        </w:rPr>
        <w:t>proposer, but</w:t>
      </w:r>
      <w:proofErr w:type="gramEnd"/>
      <w:r>
        <w:rPr>
          <w:rFonts w:ascii="Times New Roman" w:hAnsi="Times New Roman" w:cs="Times New Roman"/>
          <w:sz w:val="28"/>
          <w:szCs w:val="28"/>
        </w:rPr>
        <w:t xml:space="preserve"> are limits.  Improper for proposer to take exception to terms in proposal on grounds will be worked out in negotiation; improper to change material terms such as price</w:t>
      </w:r>
    </w:p>
    <w:p w14:paraId="7C42F32C" w14:textId="2C4ADD8D" w:rsidR="004C6BA8" w:rsidRDefault="004C6BA8" w:rsidP="004C6BA8">
      <w:pPr>
        <w:rPr>
          <w:rFonts w:ascii="Times New Roman" w:hAnsi="Times New Roman" w:cs="Times New Roman"/>
          <w:sz w:val="28"/>
          <w:szCs w:val="28"/>
        </w:rPr>
      </w:pPr>
      <w:r>
        <w:rPr>
          <w:rFonts w:ascii="Times New Roman" w:hAnsi="Times New Roman" w:cs="Times New Roman"/>
          <w:b/>
          <w:sz w:val="28"/>
          <w:szCs w:val="28"/>
        </w:rPr>
        <w:t>Invitation to Negotiate</w:t>
      </w:r>
    </w:p>
    <w:p w14:paraId="4F223886" w14:textId="2227FE5A" w:rsidR="004C6BA8" w:rsidRDefault="004C6BA8" w:rsidP="004C6BA8">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Used with ITB and RFP not practicable and purpose s to determine best method for achieving a goal or solving a </w:t>
      </w:r>
      <w:proofErr w:type="gramStart"/>
      <w:r>
        <w:rPr>
          <w:rFonts w:ascii="Times New Roman" w:hAnsi="Times New Roman" w:cs="Times New Roman"/>
          <w:sz w:val="28"/>
          <w:szCs w:val="28"/>
        </w:rPr>
        <w:t>particular problem</w:t>
      </w:r>
      <w:proofErr w:type="gramEnd"/>
      <w:r>
        <w:rPr>
          <w:rFonts w:ascii="Times New Roman" w:hAnsi="Times New Roman" w:cs="Times New Roman"/>
          <w:sz w:val="28"/>
          <w:szCs w:val="28"/>
        </w:rPr>
        <w:t xml:space="preserve">.  </w:t>
      </w:r>
    </w:p>
    <w:p w14:paraId="73559065" w14:textId="3D16AC79" w:rsidR="004C6BA8" w:rsidRDefault="004C6BA8" w:rsidP="004C6BA8">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Use invitation to negotiation (ITN)</w:t>
      </w:r>
    </w:p>
    <w:p w14:paraId="29E38330" w14:textId="03BEC5A1" w:rsidR="004C6BA8" w:rsidRDefault="004C6BA8" w:rsidP="004C6BA8">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Allows for far reaching negotiations with multiple vendors to achieve best value.  </w:t>
      </w:r>
    </w:p>
    <w:p w14:paraId="48B05B73" w14:textId="49BD3A80" w:rsidR="004C6BA8" w:rsidRDefault="004C6BA8" w:rsidP="004C6BA8">
      <w:pPr>
        <w:rPr>
          <w:rFonts w:ascii="Times New Roman" w:hAnsi="Times New Roman" w:cs="Times New Roman"/>
          <w:sz w:val="28"/>
          <w:szCs w:val="28"/>
        </w:rPr>
      </w:pPr>
    </w:p>
    <w:p w14:paraId="7B7A1A09" w14:textId="5E506B8D" w:rsidR="004C6BA8" w:rsidRDefault="004C6BA8" w:rsidP="004C6BA8">
      <w:pPr>
        <w:rPr>
          <w:rFonts w:ascii="Times New Roman" w:hAnsi="Times New Roman" w:cs="Times New Roman"/>
          <w:sz w:val="28"/>
          <w:szCs w:val="28"/>
        </w:rPr>
      </w:pPr>
      <w:r>
        <w:rPr>
          <w:rFonts w:ascii="Times New Roman" w:hAnsi="Times New Roman" w:cs="Times New Roman"/>
          <w:b/>
          <w:sz w:val="28"/>
          <w:szCs w:val="28"/>
        </w:rPr>
        <w:t>Exceptions to competitive procurement</w:t>
      </w:r>
    </w:p>
    <w:p w14:paraId="4E3AF3FC" w14:textId="6C014B0B" w:rsidR="004C6BA8" w:rsidRDefault="004C6BA8" w:rsidP="004C6BA8">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Piggyback contract</w:t>
      </w:r>
    </w:p>
    <w:p w14:paraId="08A8D2EB" w14:textId="12C7A95A" w:rsidR="004C6BA8" w:rsidRDefault="004C6BA8" w:rsidP="004C6BA8">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Sole source</w:t>
      </w:r>
    </w:p>
    <w:p w14:paraId="10B88BCF" w14:textId="44281413" w:rsidR="004C6BA8" w:rsidRDefault="004C6BA8" w:rsidP="004C6BA8">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Emergencies</w:t>
      </w:r>
    </w:p>
    <w:p w14:paraId="50970880" w14:textId="109C818F" w:rsidR="004C6BA8" w:rsidRDefault="004C6BA8" w:rsidP="004C6BA8">
      <w:pPr>
        <w:rPr>
          <w:rFonts w:ascii="Times New Roman" w:hAnsi="Times New Roman" w:cs="Times New Roman"/>
          <w:sz w:val="28"/>
          <w:szCs w:val="28"/>
        </w:rPr>
      </w:pPr>
    </w:p>
    <w:p w14:paraId="5F22FD13" w14:textId="7CF8FA11" w:rsidR="004C6BA8" w:rsidRDefault="004C6BA8" w:rsidP="004C6BA8">
      <w:pPr>
        <w:rPr>
          <w:rFonts w:ascii="Times New Roman" w:hAnsi="Times New Roman" w:cs="Times New Roman"/>
          <w:sz w:val="28"/>
          <w:szCs w:val="28"/>
        </w:rPr>
      </w:pPr>
      <w:r w:rsidRPr="004C6BA8">
        <w:rPr>
          <w:rFonts w:ascii="Times New Roman" w:hAnsi="Times New Roman" w:cs="Times New Roman"/>
          <w:b/>
          <w:sz w:val="28"/>
          <w:szCs w:val="28"/>
        </w:rPr>
        <w:t>Public private partnership</w:t>
      </w:r>
      <w:r>
        <w:rPr>
          <w:rFonts w:ascii="Times New Roman" w:hAnsi="Times New Roman" w:cs="Times New Roman"/>
          <w:sz w:val="28"/>
          <w:szCs w:val="28"/>
        </w:rPr>
        <w:t xml:space="preserve"> allows for “unsolicited proposal”  </w:t>
      </w:r>
    </w:p>
    <w:p w14:paraId="769E571B" w14:textId="4A957422"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Government must advertise fact received unsolicited proposal and invite others to respond before negotiating contract</w:t>
      </w:r>
    </w:p>
    <w:p w14:paraId="62951BF5" w14:textId="6607049C" w:rsidR="004C6BA8" w:rsidRDefault="004C6BA8" w:rsidP="004C6BA8">
      <w:pPr>
        <w:rPr>
          <w:rFonts w:ascii="Times New Roman" w:hAnsi="Times New Roman" w:cs="Times New Roman"/>
          <w:sz w:val="28"/>
          <w:szCs w:val="28"/>
        </w:rPr>
      </w:pPr>
      <w:r>
        <w:rPr>
          <w:rFonts w:ascii="Times New Roman" w:hAnsi="Times New Roman" w:cs="Times New Roman"/>
          <w:b/>
          <w:sz w:val="28"/>
          <w:szCs w:val="28"/>
        </w:rPr>
        <w:t>CCNA (Consultants Competitive negotiation act)</w:t>
      </w:r>
    </w:p>
    <w:p w14:paraId="3648C1FE" w14:textId="25257C60"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Applies to architect, professional engineer, landscape architect, </w:t>
      </w:r>
      <w:proofErr w:type="spellStart"/>
      <w:r>
        <w:rPr>
          <w:rFonts w:ascii="Times New Roman" w:hAnsi="Times New Roman" w:cs="Times New Roman"/>
          <w:sz w:val="28"/>
          <w:szCs w:val="28"/>
        </w:rPr>
        <w:t>registerd</w:t>
      </w:r>
      <w:proofErr w:type="spellEnd"/>
      <w:r>
        <w:rPr>
          <w:rFonts w:ascii="Times New Roman" w:hAnsi="Times New Roman" w:cs="Times New Roman"/>
          <w:sz w:val="28"/>
          <w:szCs w:val="28"/>
        </w:rPr>
        <w:t xml:space="preserve"> surveyor or mapper</w:t>
      </w:r>
    </w:p>
    <w:p w14:paraId="2A213D07" w14:textId="0DE8FEB5"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Also adopted by reference for construction management services (255.103)</w:t>
      </w:r>
    </w:p>
    <w:p w14:paraId="3E802AC3" w14:textId="6FE098E6"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Only applies to professional services for project defined as fixed capital outlay study or planning activity</w:t>
      </w:r>
    </w:p>
    <w:p w14:paraId="1656A618" w14:textId="0C30E99B"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Project must exceed $325,000 or a planning or study activity which exceeds $35,000</w:t>
      </w:r>
    </w:p>
    <w:p w14:paraId="4B7EA537" w14:textId="5E795B95" w:rsidR="004C6BA8" w:rsidRDefault="004C6BA8" w:rsidP="004C6BA8">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lastRenderedPageBreak/>
        <w:t>Process:</w:t>
      </w:r>
    </w:p>
    <w:p w14:paraId="70BB5218" w14:textId="2A91A0DE" w:rsidR="004C6BA8" w:rsidRDefault="004C6BA8" w:rsidP="004C6BA8">
      <w:pPr>
        <w:pStyle w:val="ListParagraph"/>
        <w:numPr>
          <w:ilvl w:val="1"/>
          <w:numId w:val="7"/>
        </w:numPr>
        <w:rPr>
          <w:rFonts w:ascii="Times New Roman" w:hAnsi="Times New Roman" w:cs="Times New Roman"/>
          <w:sz w:val="28"/>
          <w:szCs w:val="28"/>
        </w:rPr>
      </w:pPr>
      <w:r>
        <w:rPr>
          <w:rFonts w:ascii="Times New Roman" w:hAnsi="Times New Roman" w:cs="Times New Roman"/>
          <w:sz w:val="28"/>
          <w:szCs w:val="28"/>
        </w:rPr>
        <w:t>Requires uniform and consistent public announcements for all public projects</w:t>
      </w:r>
    </w:p>
    <w:p w14:paraId="2FD52A42" w14:textId="55C869D1" w:rsidR="004C6BA8" w:rsidRDefault="004C6BA8" w:rsidP="004C6BA8">
      <w:pPr>
        <w:pStyle w:val="ListParagraph"/>
        <w:numPr>
          <w:ilvl w:val="1"/>
          <w:numId w:val="7"/>
        </w:numPr>
        <w:rPr>
          <w:rFonts w:ascii="Times New Roman" w:hAnsi="Times New Roman" w:cs="Times New Roman"/>
          <w:sz w:val="28"/>
          <w:szCs w:val="28"/>
        </w:rPr>
      </w:pP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evaluate and rank </w:t>
      </w:r>
      <w:r w:rsidR="004B55E0">
        <w:rPr>
          <w:rFonts w:ascii="Times New Roman" w:hAnsi="Times New Roman" w:cs="Times New Roman"/>
          <w:sz w:val="28"/>
          <w:szCs w:val="28"/>
        </w:rPr>
        <w:t xml:space="preserve">in order of preference minimum of three firms.  Criteria is governed by </w:t>
      </w:r>
      <w:proofErr w:type="gramStart"/>
      <w:r w:rsidR="004B55E0">
        <w:rPr>
          <w:rFonts w:ascii="Times New Roman" w:hAnsi="Times New Roman" w:cs="Times New Roman"/>
          <w:sz w:val="28"/>
          <w:szCs w:val="28"/>
        </w:rPr>
        <w:t>statute, but</w:t>
      </w:r>
      <w:proofErr w:type="gramEnd"/>
      <w:r w:rsidR="004B55E0">
        <w:rPr>
          <w:rFonts w:ascii="Times New Roman" w:hAnsi="Times New Roman" w:cs="Times New Roman"/>
          <w:sz w:val="28"/>
          <w:szCs w:val="28"/>
        </w:rPr>
        <w:t xml:space="preserve"> can be added to.  May not consider compensation during initial review.  </w:t>
      </w:r>
    </w:p>
    <w:p w14:paraId="049052CB" w14:textId="3E3F92FF" w:rsidR="004B55E0" w:rsidRDefault="004B55E0" w:rsidP="004C6BA8">
      <w:pPr>
        <w:pStyle w:val="ListParagraph"/>
        <w:numPr>
          <w:ilvl w:val="1"/>
          <w:numId w:val="7"/>
        </w:numPr>
        <w:rPr>
          <w:rFonts w:ascii="Times New Roman" w:hAnsi="Times New Roman" w:cs="Times New Roman"/>
          <w:sz w:val="28"/>
          <w:szCs w:val="28"/>
        </w:rPr>
      </w:pPr>
      <w:r>
        <w:rPr>
          <w:rFonts w:ascii="Times New Roman" w:hAnsi="Times New Roman" w:cs="Times New Roman"/>
          <w:sz w:val="28"/>
          <w:szCs w:val="28"/>
        </w:rPr>
        <w:t xml:space="preserve">Can only negotiate with one firm at a time.  </w:t>
      </w:r>
    </w:p>
    <w:p w14:paraId="27F70DF7" w14:textId="30939531" w:rsidR="004B55E0" w:rsidRDefault="004B55E0" w:rsidP="004C6BA8">
      <w:pPr>
        <w:pStyle w:val="ListParagraph"/>
        <w:numPr>
          <w:ilvl w:val="1"/>
          <w:numId w:val="7"/>
        </w:numPr>
        <w:rPr>
          <w:rFonts w:ascii="Times New Roman" w:hAnsi="Times New Roman" w:cs="Times New Roman"/>
          <w:sz w:val="28"/>
          <w:szCs w:val="28"/>
        </w:rPr>
      </w:pPr>
      <w:r>
        <w:rPr>
          <w:rFonts w:ascii="Times New Roman" w:hAnsi="Times New Roman" w:cs="Times New Roman"/>
          <w:sz w:val="28"/>
          <w:szCs w:val="28"/>
        </w:rPr>
        <w:t xml:space="preserve">Statue requires public </w:t>
      </w:r>
      <w:proofErr w:type="spellStart"/>
      <w:r>
        <w:rPr>
          <w:rFonts w:ascii="Times New Roman" w:hAnsi="Times New Roman" w:cs="Times New Roman"/>
          <w:sz w:val="28"/>
          <w:szCs w:val="28"/>
        </w:rPr>
        <w:t>entites</w:t>
      </w:r>
      <w:proofErr w:type="spellEnd"/>
      <w:r>
        <w:rPr>
          <w:rFonts w:ascii="Times New Roman" w:hAnsi="Times New Roman" w:cs="Times New Roman"/>
          <w:sz w:val="28"/>
          <w:szCs w:val="28"/>
        </w:rPr>
        <w:t xml:space="preserve"> to consider whether firm is certified minority business enterprise</w:t>
      </w:r>
    </w:p>
    <w:p w14:paraId="28CF36D8" w14:textId="41C6742C" w:rsidR="004B55E0" w:rsidRDefault="004B55E0" w:rsidP="004B55E0">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Continuing contract is not prohibited</w:t>
      </w:r>
    </w:p>
    <w:p w14:paraId="756392F9" w14:textId="2F45EB33" w:rsidR="004B55E0" w:rsidRDefault="004B55E0" w:rsidP="004B55E0">
      <w:pPr>
        <w:pStyle w:val="ListParagraph"/>
        <w:numPr>
          <w:ilvl w:val="1"/>
          <w:numId w:val="7"/>
        </w:numPr>
        <w:rPr>
          <w:rFonts w:ascii="Times New Roman" w:hAnsi="Times New Roman" w:cs="Times New Roman"/>
          <w:sz w:val="28"/>
          <w:szCs w:val="28"/>
        </w:rPr>
      </w:pPr>
      <w:r>
        <w:rPr>
          <w:rFonts w:ascii="Times New Roman" w:hAnsi="Times New Roman" w:cs="Times New Roman"/>
          <w:sz w:val="28"/>
          <w:szCs w:val="28"/>
        </w:rPr>
        <w:t>Can act as master agreement</w:t>
      </w:r>
    </w:p>
    <w:p w14:paraId="285CC82A" w14:textId="0064D897" w:rsidR="004B55E0" w:rsidRPr="009E4464" w:rsidRDefault="004B55E0" w:rsidP="009E4464">
      <w:pPr>
        <w:ind w:left="720"/>
        <w:rPr>
          <w:rFonts w:ascii="Times New Roman" w:hAnsi="Times New Roman" w:cs="Times New Roman"/>
          <w:sz w:val="28"/>
          <w:szCs w:val="28"/>
        </w:rPr>
      </w:pPr>
      <w:r w:rsidRPr="009E4464">
        <w:rPr>
          <w:rFonts w:ascii="Times New Roman" w:hAnsi="Times New Roman" w:cs="Times New Roman"/>
          <w:sz w:val="28"/>
          <w:szCs w:val="28"/>
        </w:rPr>
        <w:t xml:space="preserve">Maximum amount of construction costs under continuing contract cannot exceed $2 million.  Study activity, maximum is $200,000.  </w:t>
      </w:r>
      <w:bookmarkStart w:id="0" w:name="_GoBack"/>
      <w:bookmarkEnd w:id="0"/>
    </w:p>
    <w:p w14:paraId="5496E7FA" w14:textId="77777777" w:rsidR="004C6BA8" w:rsidRPr="004C6BA8" w:rsidRDefault="004C6BA8" w:rsidP="004C6BA8">
      <w:pPr>
        <w:rPr>
          <w:rFonts w:ascii="Times New Roman" w:hAnsi="Times New Roman" w:cs="Times New Roman"/>
          <w:sz w:val="28"/>
          <w:szCs w:val="28"/>
        </w:rPr>
      </w:pPr>
    </w:p>
    <w:sectPr w:rsidR="004C6BA8" w:rsidRPr="004C6BA8">
      <w:head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B653B4" w14:textId="77777777" w:rsidR="00AE3550" w:rsidRDefault="00AE3550" w:rsidP="006E71FC">
      <w:pPr>
        <w:spacing w:after="0" w:line="240" w:lineRule="auto"/>
      </w:pPr>
      <w:r>
        <w:separator/>
      </w:r>
    </w:p>
  </w:endnote>
  <w:endnote w:type="continuationSeparator" w:id="0">
    <w:p w14:paraId="152C01B8" w14:textId="77777777" w:rsidR="00AE3550" w:rsidRDefault="00AE3550" w:rsidP="006E7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A3EDCA" w14:textId="77777777" w:rsidR="00AE3550" w:rsidRDefault="00AE3550" w:rsidP="006E71FC">
      <w:pPr>
        <w:spacing w:after="0" w:line="240" w:lineRule="auto"/>
      </w:pPr>
      <w:r>
        <w:separator/>
      </w:r>
    </w:p>
  </w:footnote>
  <w:footnote w:type="continuationSeparator" w:id="0">
    <w:p w14:paraId="0F19CD28" w14:textId="77777777" w:rsidR="00AE3550" w:rsidRDefault="00AE3550" w:rsidP="006E7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117A1" w14:textId="77777777" w:rsidR="006E71FC" w:rsidRDefault="006E71FC">
    <w:pPr>
      <w:pStyle w:val="Header"/>
    </w:pPr>
    <w:r>
      <w:t xml:space="preserve">Procurement </w:t>
    </w:r>
  </w:p>
  <w:p w14:paraId="74046F79" w14:textId="1837E7EB" w:rsidR="006E71FC" w:rsidRDefault="006E71FC">
    <w:pPr>
      <w:pStyle w:val="Header"/>
    </w:pPr>
    <w:r>
      <w:t>Study Notes</w:t>
    </w:r>
  </w:p>
  <w:p w14:paraId="33C8D3C0" w14:textId="1F6D4676" w:rsidR="006E71FC" w:rsidRDefault="006E71FC">
    <w:pPr>
      <w:pStyle w:val="Header"/>
      <w:rPr>
        <w:b/>
        <w:bCs/>
      </w:rP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3E34CE78" w14:textId="77777777" w:rsidR="006E71FC" w:rsidRDefault="006E71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A7B80"/>
    <w:multiLevelType w:val="hybridMultilevel"/>
    <w:tmpl w:val="57C0B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806A90"/>
    <w:multiLevelType w:val="hybridMultilevel"/>
    <w:tmpl w:val="408CB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E64E3D"/>
    <w:multiLevelType w:val="hybridMultilevel"/>
    <w:tmpl w:val="8FD09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AE4222"/>
    <w:multiLevelType w:val="hybridMultilevel"/>
    <w:tmpl w:val="9006D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832312"/>
    <w:multiLevelType w:val="hybridMultilevel"/>
    <w:tmpl w:val="4A065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541951"/>
    <w:multiLevelType w:val="hybridMultilevel"/>
    <w:tmpl w:val="D82A5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DE0590"/>
    <w:multiLevelType w:val="hybridMultilevel"/>
    <w:tmpl w:val="08982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2"/>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1FC"/>
    <w:rsid w:val="00064462"/>
    <w:rsid w:val="001D7E1E"/>
    <w:rsid w:val="004B55E0"/>
    <w:rsid w:val="004C6BA8"/>
    <w:rsid w:val="004F4B72"/>
    <w:rsid w:val="006E71FC"/>
    <w:rsid w:val="007F2BB3"/>
    <w:rsid w:val="00905564"/>
    <w:rsid w:val="009E4464"/>
    <w:rsid w:val="00AE3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8B2C8"/>
  <w15:chartTrackingRefBased/>
  <w15:docId w15:val="{D56B5A52-1DA0-4F30-B0E2-234CF95A6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71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71FC"/>
  </w:style>
  <w:style w:type="paragraph" w:styleId="Footer">
    <w:name w:val="footer"/>
    <w:basedOn w:val="Normal"/>
    <w:link w:val="FooterChar"/>
    <w:uiPriority w:val="99"/>
    <w:unhideWhenUsed/>
    <w:rsid w:val="006E7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71FC"/>
  </w:style>
  <w:style w:type="character" w:styleId="Hyperlink">
    <w:name w:val="Hyperlink"/>
    <w:basedOn w:val="DefaultParagraphFont"/>
    <w:uiPriority w:val="99"/>
    <w:semiHidden/>
    <w:unhideWhenUsed/>
    <w:rsid w:val="006E71FC"/>
    <w:rPr>
      <w:color w:val="0000FF"/>
      <w:u w:val="single"/>
    </w:rPr>
  </w:style>
  <w:style w:type="character" w:customStyle="1" w:styleId="sectionnumber">
    <w:name w:val="sectionnumber"/>
    <w:basedOn w:val="DefaultParagraphFont"/>
    <w:rsid w:val="006E71FC"/>
  </w:style>
  <w:style w:type="character" w:customStyle="1" w:styleId="catchlinetext">
    <w:name w:val="catchlinetext"/>
    <w:basedOn w:val="DefaultParagraphFont"/>
    <w:rsid w:val="006E71FC"/>
  </w:style>
  <w:style w:type="character" w:customStyle="1" w:styleId="emdash">
    <w:name w:val="emdash"/>
    <w:basedOn w:val="DefaultParagraphFont"/>
    <w:rsid w:val="006E71FC"/>
  </w:style>
  <w:style w:type="character" w:customStyle="1" w:styleId="sectionbody">
    <w:name w:val="sectionbody"/>
    <w:basedOn w:val="DefaultParagraphFont"/>
    <w:rsid w:val="006E71FC"/>
  </w:style>
  <w:style w:type="character" w:customStyle="1" w:styleId="number">
    <w:name w:val="number"/>
    <w:basedOn w:val="DefaultParagraphFont"/>
    <w:rsid w:val="006E71FC"/>
  </w:style>
  <w:style w:type="character" w:customStyle="1" w:styleId="text">
    <w:name w:val="text"/>
    <w:basedOn w:val="DefaultParagraphFont"/>
    <w:rsid w:val="006E71FC"/>
  </w:style>
  <w:style w:type="paragraph" w:customStyle="1" w:styleId="reversion">
    <w:name w:val="reversion"/>
    <w:basedOn w:val="Normal"/>
    <w:rsid w:val="006E71FC"/>
    <w:pPr>
      <w:spacing w:before="100" w:beforeAutospacing="1" w:after="100" w:afterAutospacing="1" w:line="240" w:lineRule="auto"/>
    </w:pPr>
    <w:rPr>
      <w:rFonts w:ascii="Trebuchet MS" w:eastAsia="Times New Roman" w:hAnsi="Trebuchet MS" w:cs="Times New Roman"/>
      <w:color w:val="000080"/>
      <w:sz w:val="20"/>
      <w:szCs w:val="20"/>
    </w:rPr>
  </w:style>
  <w:style w:type="character" w:customStyle="1" w:styleId="historytitle">
    <w:name w:val="historytitle"/>
    <w:basedOn w:val="DefaultParagraphFont"/>
    <w:rsid w:val="006E71FC"/>
  </w:style>
  <w:style w:type="character" w:customStyle="1" w:styleId="historytext">
    <w:name w:val="historytext"/>
    <w:basedOn w:val="DefaultParagraphFont"/>
    <w:rsid w:val="006E71FC"/>
  </w:style>
  <w:style w:type="character" w:customStyle="1" w:styleId="notetitle">
    <w:name w:val="notetitle"/>
    <w:basedOn w:val="DefaultParagraphFont"/>
    <w:rsid w:val="006E71FC"/>
  </w:style>
  <w:style w:type="paragraph" w:styleId="ListParagraph">
    <w:name w:val="List Paragraph"/>
    <w:basedOn w:val="Normal"/>
    <w:uiPriority w:val="34"/>
    <w:qFormat/>
    <w:rsid w:val="009055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0471407">
      <w:bodyDiv w:val="1"/>
      <w:marLeft w:val="0"/>
      <w:marRight w:val="0"/>
      <w:marTop w:val="0"/>
      <w:marBottom w:val="0"/>
      <w:divBdr>
        <w:top w:val="none" w:sz="0" w:space="0" w:color="auto"/>
        <w:left w:val="none" w:sz="0" w:space="0" w:color="auto"/>
        <w:bottom w:val="none" w:sz="0" w:space="0" w:color="auto"/>
        <w:right w:val="none" w:sz="0" w:space="0" w:color="auto"/>
      </w:divBdr>
      <w:divsChild>
        <w:div w:id="1719165756">
          <w:marLeft w:val="0"/>
          <w:marRight w:val="0"/>
          <w:marTop w:val="0"/>
          <w:marBottom w:val="0"/>
          <w:divBdr>
            <w:top w:val="none" w:sz="0" w:space="0" w:color="auto"/>
            <w:left w:val="none" w:sz="0" w:space="0" w:color="auto"/>
            <w:bottom w:val="none" w:sz="0" w:space="0" w:color="auto"/>
            <w:right w:val="none" w:sz="0" w:space="0" w:color="auto"/>
          </w:divBdr>
          <w:divsChild>
            <w:div w:id="1033774132">
              <w:marLeft w:val="0"/>
              <w:marRight w:val="0"/>
              <w:marTop w:val="0"/>
              <w:marBottom w:val="0"/>
              <w:divBdr>
                <w:top w:val="none" w:sz="0" w:space="0" w:color="auto"/>
                <w:left w:val="none" w:sz="0" w:space="0" w:color="auto"/>
                <w:bottom w:val="none" w:sz="0" w:space="0" w:color="auto"/>
                <w:right w:val="none" w:sz="0" w:space="0" w:color="auto"/>
              </w:divBdr>
              <w:divsChild>
                <w:div w:id="159078370">
                  <w:marLeft w:val="0"/>
                  <w:marRight w:val="0"/>
                  <w:marTop w:val="0"/>
                  <w:marBottom w:val="0"/>
                  <w:divBdr>
                    <w:top w:val="none" w:sz="0" w:space="0" w:color="auto"/>
                    <w:left w:val="none" w:sz="0" w:space="0" w:color="auto"/>
                    <w:bottom w:val="none" w:sz="0" w:space="0" w:color="auto"/>
                    <w:right w:val="none" w:sz="0" w:space="0" w:color="auto"/>
                  </w:divBdr>
                </w:div>
                <w:div w:id="1210337129">
                  <w:marLeft w:val="0"/>
                  <w:marRight w:val="0"/>
                  <w:marTop w:val="0"/>
                  <w:marBottom w:val="0"/>
                  <w:divBdr>
                    <w:top w:val="none" w:sz="0" w:space="0" w:color="auto"/>
                    <w:left w:val="none" w:sz="0" w:space="0" w:color="auto"/>
                    <w:bottom w:val="none" w:sz="0" w:space="0" w:color="auto"/>
                    <w:right w:val="none" w:sz="0" w:space="0" w:color="auto"/>
                  </w:divBdr>
                  <w:divsChild>
                    <w:div w:id="549220746">
                      <w:marLeft w:val="0"/>
                      <w:marRight w:val="0"/>
                      <w:marTop w:val="0"/>
                      <w:marBottom w:val="0"/>
                      <w:divBdr>
                        <w:top w:val="none" w:sz="0" w:space="0" w:color="auto"/>
                        <w:left w:val="none" w:sz="0" w:space="0" w:color="auto"/>
                        <w:bottom w:val="none" w:sz="0" w:space="0" w:color="auto"/>
                        <w:right w:val="none" w:sz="0" w:space="0" w:color="auto"/>
                      </w:divBdr>
                    </w:div>
                    <w:div w:id="1991861054">
                      <w:marLeft w:val="0"/>
                      <w:marRight w:val="0"/>
                      <w:marTop w:val="0"/>
                      <w:marBottom w:val="0"/>
                      <w:divBdr>
                        <w:top w:val="none" w:sz="0" w:space="0" w:color="auto"/>
                        <w:left w:val="none" w:sz="0" w:space="0" w:color="auto"/>
                        <w:bottom w:val="none" w:sz="0" w:space="0" w:color="auto"/>
                        <w:right w:val="none" w:sz="0" w:space="0" w:color="auto"/>
                      </w:divBdr>
                    </w:div>
                    <w:div w:id="2031253085">
                      <w:marLeft w:val="0"/>
                      <w:marRight w:val="0"/>
                      <w:marTop w:val="0"/>
                      <w:marBottom w:val="0"/>
                      <w:divBdr>
                        <w:top w:val="none" w:sz="0" w:space="0" w:color="auto"/>
                        <w:left w:val="none" w:sz="0" w:space="0" w:color="auto"/>
                        <w:bottom w:val="none" w:sz="0" w:space="0" w:color="auto"/>
                        <w:right w:val="none" w:sz="0" w:space="0" w:color="auto"/>
                      </w:divBdr>
                    </w:div>
                    <w:div w:id="28186101">
                      <w:marLeft w:val="0"/>
                      <w:marRight w:val="0"/>
                      <w:marTop w:val="0"/>
                      <w:marBottom w:val="0"/>
                      <w:divBdr>
                        <w:top w:val="none" w:sz="0" w:space="0" w:color="auto"/>
                        <w:left w:val="none" w:sz="0" w:space="0" w:color="auto"/>
                        <w:bottom w:val="none" w:sz="0" w:space="0" w:color="auto"/>
                        <w:right w:val="none" w:sz="0" w:space="0" w:color="auto"/>
                      </w:divBdr>
                    </w:div>
                    <w:div w:id="1802653672">
                      <w:marLeft w:val="0"/>
                      <w:marRight w:val="0"/>
                      <w:marTop w:val="0"/>
                      <w:marBottom w:val="0"/>
                      <w:divBdr>
                        <w:top w:val="none" w:sz="0" w:space="0" w:color="auto"/>
                        <w:left w:val="none" w:sz="0" w:space="0" w:color="auto"/>
                        <w:bottom w:val="none" w:sz="0" w:space="0" w:color="auto"/>
                        <w:right w:val="none" w:sz="0" w:space="0" w:color="auto"/>
                      </w:divBdr>
                    </w:div>
                    <w:div w:id="231354908">
                      <w:marLeft w:val="0"/>
                      <w:marRight w:val="0"/>
                      <w:marTop w:val="0"/>
                      <w:marBottom w:val="0"/>
                      <w:divBdr>
                        <w:top w:val="none" w:sz="0" w:space="0" w:color="auto"/>
                        <w:left w:val="none" w:sz="0" w:space="0" w:color="auto"/>
                        <w:bottom w:val="none" w:sz="0" w:space="0" w:color="auto"/>
                        <w:right w:val="none" w:sz="0" w:space="0" w:color="auto"/>
                      </w:divBdr>
                      <w:divsChild>
                        <w:div w:id="415246907">
                          <w:marLeft w:val="0"/>
                          <w:marRight w:val="0"/>
                          <w:marTop w:val="0"/>
                          <w:marBottom w:val="0"/>
                          <w:divBdr>
                            <w:top w:val="none" w:sz="0" w:space="0" w:color="auto"/>
                            <w:left w:val="none" w:sz="0" w:space="0" w:color="auto"/>
                            <w:bottom w:val="none" w:sz="0" w:space="0" w:color="auto"/>
                            <w:right w:val="none" w:sz="0" w:space="0" w:color="auto"/>
                          </w:divBdr>
                        </w:div>
                        <w:div w:id="892349633">
                          <w:marLeft w:val="0"/>
                          <w:marRight w:val="0"/>
                          <w:marTop w:val="0"/>
                          <w:marBottom w:val="0"/>
                          <w:divBdr>
                            <w:top w:val="none" w:sz="0" w:space="0" w:color="auto"/>
                            <w:left w:val="none" w:sz="0" w:space="0" w:color="auto"/>
                            <w:bottom w:val="none" w:sz="0" w:space="0" w:color="auto"/>
                            <w:right w:val="none" w:sz="0" w:space="0" w:color="auto"/>
                          </w:divBdr>
                        </w:div>
                      </w:divsChild>
                    </w:div>
                    <w:div w:id="42869011">
                      <w:marLeft w:val="0"/>
                      <w:marRight w:val="0"/>
                      <w:marTop w:val="0"/>
                      <w:marBottom w:val="0"/>
                      <w:divBdr>
                        <w:top w:val="none" w:sz="0" w:space="0" w:color="auto"/>
                        <w:left w:val="none" w:sz="0" w:space="0" w:color="auto"/>
                        <w:bottom w:val="none" w:sz="0" w:space="0" w:color="auto"/>
                        <w:right w:val="none" w:sz="0" w:space="0" w:color="auto"/>
                      </w:divBdr>
                    </w:div>
                    <w:div w:id="1131677575">
                      <w:marLeft w:val="0"/>
                      <w:marRight w:val="0"/>
                      <w:marTop w:val="0"/>
                      <w:marBottom w:val="0"/>
                      <w:divBdr>
                        <w:top w:val="none" w:sz="0" w:space="0" w:color="auto"/>
                        <w:left w:val="none" w:sz="0" w:space="0" w:color="auto"/>
                        <w:bottom w:val="none" w:sz="0" w:space="0" w:color="auto"/>
                        <w:right w:val="none" w:sz="0" w:space="0" w:color="auto"/>
                      </w:divBdr>
                      <w:divsChild>
                        <w:div w:id="1605921710">
                          <w:marLeft w:val="0"/>
                          <w:marRight w:val="0"/>
                          <w:marTop w:val="0"/>
                          <w:marBottom w:val="0"/>
                          <w:divBdr>
                            <w:top w:val="none" w:sz="0" w:space="0" w:color="auto"/>
                            <w:left w:val="none" w:sz="0" w:space="0" w:color="auto"/>
                            <w:bottom w:val="none" w:sz="0" w:space="0" w:color="auto"/>
                            <w:right w:val="none" w:sz="0" w:space="0" w:color="auto"/>
                          </w:divBdr>
                        </w:div>
                        <w:div w:id="318509789">
                          <w:marLeft w:val="0"/>
                          <w:marRight w:val="0"/>
                          <w:marTop w:val="0"/>
                          <w:marBottom w:val="0"/>
                          <w:divBdr>
                            <w:top w:val="none" w:sz="0" w:space="0" w:color="auto"/>
                            <w:left w:val="none" w:sz="0" w:space="0" w:color="auto"/>
                            <w:bottom w:val="none" w:sz="0" w:space="0" w:color="auto"/>
                            <w:right w:val="none" w:sz="0" w:space="0" w:color="auto"/>
                          </w:divBdr>
                        </w:div>
                      </w:divsChild>
                    </w:div>
                    <w:div w:id="1080905579">
                      <w:marLeft w:val="0"/>
                      <w:marRight w:val="0"/>
                      <w:marTop w:val="0"/>
                      <w:marBottom w:val="0"/>
                      <w:divBdr>
                        <w:top w:val="none" w:sz="0" w:space="0" w:color="auto"/>
                        <w:left w:val="none" w:sz="0" w:space="0" w:color="auto"/>
                        <w:bottom w:val="none" w:sz="0" w:space="0" w:color="auto"/>
                        <w:right w:val="none" w:sz="0" w:space="0" w:color="auto"/>
                      </w:divBdr>
                    </w:div>
                    <w:div w:id="1524128840">
                      <w:marLeft w:val="0"/>
                      <w:marRight w:val="0"/>
                      <w:marTop w:val="0"/>
                      <w:marBottom w:val="0"/>
                      <w:divBdr>
                        <w:top w:val="none" w:sz="0" w:space="0" w:color="auto"/>
                        <w:left w:val="none" w:sz="0" w:space="0" w:color="auto"/>
                        <w:bottom w:val="none" w:sz="0" w:space="0" w:color="auto"/>
                        <w:right w:val="none" w:sz="0" w:space="0" w:color="auto"/>
                      </w:divBdr>
                    </w:div>
                    <w:div w:id="1777286405">
                      <w:marLeft w:val="0"/>
                      <w:marRight w:val="0"/>
                      <w:marTop w:val="0"/>
                      <w:marBottom w:val="0"/>
                      <w:divBdr>
                        <w:top w:val="none" w:sz="0" w:space="0" w:color="auto"/>
                        <w:left w:val="none" w:sz="0" w:space="0" w:color="auto"/>
                        <w:bottom w:val="none" w:sz="0" w:space="0" w:color="auto"/>
                        <w:right w:val="none" w:sz="0" w:space="0" w:color="auto"/>
                      </w:divBdr>
                    </w:div>
                    <w:div w:id="33620991">
                      <w:marLeft w:val="0"/>
                      <w:marRight w:val="0"/>
                      <w:marTop w:val="0"/>
                      <w:marBottom w:val="0"/>
                      <w:divBdr>
                        <w:top w:val="none" w:sz="0" w:space="0" w:color="auto"/>
                        <w:left w:val="none" w:sz="0" w:space="0" w:color="auto"/>
                        <w:bottom w:val="none" w:sz="0" w:space="0" w:color="auto"/>
                        <w:right w:val="none" w:sz="0" w:space="0" w:color="auto"/>
                      </w:divBdr>
                    </w:div>
                  </w:divsChild>
                </w:div>
                <w:div w:id="201215816">
                  <w:marLeft w:val="0"/>
                  <w:marRight w:val="0"/>
                  <w:marTop w:val="0"/>
                  <w:marBottom w:val="0"/>
                  <w:divBdr>
                    <w:top w:val="none" w:sz="0" w:space="0" w:color="auto"/>
                    <w:left w:val="none" w:sz="0" w:space="0" w:color="auto"/>
                    <w:bottom w:val="none" w:sz="0" w:space="0" w:color="auto"/>
                    <w:right w:val="none" w:sz="0" w:space="0" w:color="auto"/>
                  </w:divBdr>
                  <w:divsChild>
                    <w:div w:id="1270819582">
                      <w:marLeft w:val="0"/>
                      <w:marRight w:val="0"/>
                      <w:marTop w:val="0"/>
                      <w:marBottom w:val="0"/>
                      <w:divBdr>
                        <w:top w:val="none" w:sz="0" w:space="0" w:color="auto"/>
                        <w:left w:val="none" w:sz="0" w:space="0" w:color="auto"/>
                        <w:bottom w:val="none" w:sz="0" w:space="0" w:color="auto"/>
                        <w:right w:val="none" w:sz="0" w:space="0" w:color="auto"/>
                      </w:divBdr>
                      <w:divsChild>
                        <w:div w:id="357043573">
                          <w:marLeft w:val="0"/>
                          <w:marRight w:val="0"/>
                          <w:marTop w:val="0"/>
                          <w:marBottom w:val="0"/>
                          <w:divBdr>
                            <w:top w:val="none" w:sz="0" w:space="0" w:color="auto"/>
                            <w:left w:val="none" w:sz="0" w:space="0" w:color="auto"/>
                            <w:bottom w:val="none" w:sz="0" w:space="0" w:color="auto"/>
                            <w:right w:val="none" w:sz="0" w:space="0" w:color="auto"/>
                          </w:divBdr>
                        </w:div>
                        <w:div w:id="1023286316">
                          <w:marLeft w:val="0"/>
                          <w:marRight w:val="0"/>
                          <w:marTop w:val="0"/>
                          <w:marBottom w:val="0"/>
                          <w:divBdr>
                            <w:top w:val="none" w:sz="0" w:space="0" w:color="auto"/>
                            <w:left w:val="none" w:sz="0" w:space="0" w:color="auto"/>
                            <w:bottom w:val="none" w:sz="0" w:space="0" w:color="auto"/>
                            <w:right w:val="none" w:sz="0" w:space="0" w:color="auto"/>
                          </w:divBdr>
                        </w:div>
                      </w:divsChild>
                    </w:div>
                    <w:div w:id="1575582952">
                      <w:marLeft w:val="0"/>
                      <w:marRight w:val="0"/>
                      <w:marTop w:val="0"/>
                      <w:marBottom w:val="0"/>
                      <w:divBdr>
                        <w:top w:val="none" w:sz="0" w:space="0" w:color="auto"/>
                        <w:left w:val="none" w:sz="0" w:space="0" w:color="auto"/>
                        <w:bottom w:val="none" w:sz="0" w:space="0" w:color="auto"/>
                        <w:right w:val="none" w:sz="0" w:space="0" w:color="auto"/>
                      </w:divBdr>
                    </w:div>
                    <w:div w:id="2001033787">
                      <w:marLeft w:val="0"/>
                      <w:marRight w:val="0"/>
                      <w:marTop w:val="0"/>
                      <w:marBottom w:val="0"/>
                      <w:divBdr>
                        <w:top w:val="none" w:sz="0" w:space="0" w:color="auto"/>
                        <w:left w:val="none" w:sz="0" w:space="0" w:color="auto"/>
                        <w:bottom w:val="none" w:sz="0" w:space="0" w:color="auto"/>
                        <w:right w:val="none" w:sz="0" w:space="0" w:color="auto"/>
                      </w:divBdr>
                    </w:div>
                    <w:div w:id="1057244057">
                      <w:marLeft w:val="0"/>
                      <w:marRight w:val="0"/>
                      <w:marTop w:val="0"/>
                      <w:marBottom w:val="0"/>
                      <w:divBdr>
                        <w:top w:val="none" w:sz="0" w:space="0" w:color="auto"/>
                        <w:left w:val="none" w:sz="0" w:space="0" w:color="auto"/>
                        <w:bottom w:val="none" w:sz="0" w:space="0" w:color="auto"/>
                        <w:right w:val="none" w:sz="0" w:space="0" w:color="auto"/>
                      </w:divBdr>
                    </w:div>
                    <w:div w:id="1873955302">
                      <w:marLeft w:val="0"/>
                      <w:marRight w:val="0"/>
                      <w:marTop w:val="0"/>
                      <w:marBottom w:val="0"/>
                      <w:divBdr>
                        <w:top w:val="none" w:sz="0" w:space="0" w:color="auto"/>
                        <w:left w:val="none" w:sz="0" w:space="0" w:color="auto"/>
                        <w:bottom w:val="none" w:sz="0" w:space="0" w:color="auto"/>
                        <w:right w:val="none" w:sz="0" w:space="0" w:color="auto"/>
                      </w:divBdr>
                    </w:div>
                  </w:divsChild>
                </w:div>
                <w:div w:id="1756979361">
                  <w:marLeft w:val="0"/>
                  <w:marRight w:val="0"/>
                  <w:marTop w:val="0"/>
                  <w:marBottom w:val="0"/>
                  <w:divBdr>
                    <w:top w:val="none" w:sz="0" w:space="0" w:color="auto"/>
                    <w:left w:val="none" w:sz="0" w:space="0" w:color="auto"/>
                    <w:bottom w:val="none" w:sz="0" w:space="0" w:color="auto"/>
                    <w:right w:val="none" w:sz="0" w:space="0" w:color="auto"/>
                  </w:divBdr>
                  <w:divsChild>
                    <w:div w:id="621156695">
                      <w:marLeft w:val="0"/>
                      <w:marRight w:val="0"/>
                      <w:marTop w:val="0"/>
                      <w:marBottom w:val="0"/>
                      <w:divBdr>
                        <w:top w:val="none" w:sz="0" w:space="0" w:color="auto"/>
                        <w:left w:val="none" w:sz="0" w:space="0" w:color="auto"/>
                        <w:bottom w:val="none" w:sz="0" w:space="0" w:color="auto"/>
                        <w:right w:val="none" w:sz="0" w:space="0" w:color="auto"/>
                      </w:divBdr>
                    </w:div>
                    <w:div w:id="718017839">
                      <w:marLeft w:val="0"/>
                      <w:marRight w:val="0"/>
                      <w:marTop w:val="0"/>
                      <w:marBottom w:val="0"/>
                      <w:divBdr>
                        <w:top w:val="none" w:sz="0" w:space="0" w:color="auto"/>
                        <w:left w:val="none" w:sz="0" w:space="0" w:color="auto"/>
                        <w:bottom w:val="none" w:sz="0" w:space="0" w:color="auto"/>
                        <w:right w:val="none" w:sz="0" w:space="0" w:color="auto"/>
                      </w:divBdr>
                    </w:div>
                    <w:div w:id="1250114380">
                      <w:marLeft w:val="0"/>
                      <w:marRight w:val="0"/>
                      <w:marTop w:val="0"/>
                      <w:marBottom w:val="0"/>
                      <w:divBdr>
                        <w:top w:val="none" w:sz="0" w:space="0" w:color="auto"/>
                        <w:left w:val="none" w:sz="0" w:space="0" w:color="auto"/>
                        <w:bottom w:val="none" w:sz="0" w:space="0" w:color="auto"/>
                        <w:right w:val="none" w:sz="0" w:space="0" w:color="auto"/>
                      </w:divBdr>
                    </w:div>
                    <w:div w:id="1927033048">
                      <w:marLeft w:val="0"/>
                      <w:marRight w:val="0"/>
                      <w:marTop w:val="0"/>
                      <w:marBottom w:val="0"/>
                      <w:divBdr>
                        <w:top w:val="none" w:sz="0" w:space="0" w:color="auto"/>
                        <w:left w:val="none" w:sz="0" w:space="0" w:color="auto"/>
                        <w:bottom w:val="none" w:sz="0" w:space="0" w:color="auto"/>
                        <w:right w:val="none" w:sz="0" w:space="0" w:color="auto"/>
                      </w:divBdr>
                    </w:div>
                  </w:divsChild>
                </w:div>
                <w:div w:id="640040554">
                  <w:marLeft w:val="0"/>
                  <w:marRight w:val="0"/>
                  <w:marTop w:val="0"/>
                  <w:marBottom w:val="0"/>
                  <w:divBdr>
                    <w:top w:val="none" w:sz="0" w:space="0" w:color="auto"/>
                    <w:left w:val="none" w:sz="0" w:space="0" w:color="auto"/>
                    <w:bottom w:val="none" w:sz="0" w:space="0" w:color="auto"/>
                    <w:right w:val="none" w:sz="0" w:space="0" w:color="auto"/>
                  </w:divBdr>
                  <w:divsChild>
                    <w:div w:id="552036437">
                      <w:marLeft w:val="0"/>
                      <w:marRight w:val="0"/>
                      <w:marTop w:val="0"/>
                      <w:marBottom w:val="0"/>
                      <w:divBdr>
                        <w:top w:val="none" w:sz="0" w:space="0" w:color="auto"/>
                        <w:left w:val="none" w:sz="0" w:space="0" w:color="auto"/>
                        <w:bottom w:val="none" w:sz="0" w:space="0" w:color="auto"/>
                        <w:right w:val="none" w:sz="0" w:space="0" w:color="auto"/>
                      </w:divBdr>
                    </w:div>
                    <w:div w:id="780295978">
                      <w:marLeft w:val="0"/>
                      <w:marRight w:val="0"/>
                      <w:marTop w:val="0"/>
                      <w:marBottom w:val="0"/>
                      <w:divBdr>
                        <w:top w:val="none" w:sz="0" w:space="0" w:color="auto"/>
                        <w:left w:val="none" w:sz="0" w:space="0" w:color="auto"/>
                        <w:bottom w:val="none" w:sz="0" w:space="0" w:color="auto"/>
                        <w:right w:val="none" w:sz="0" w:space="0" w:color="auto"/>
                      </w:divBdr>
                    </w:div>
                    <w:div w:id="1991056764">
                      <w:marLeft w:val="0"/>
                      <w:marRight w:val="0"/>
                      <w:marTop w:val="0"/>
                      <w:marBottom w:val="0"/>
                      <w:divBdr>
                        <w:top w:val="none" w:sz="0" w:space="0" w:color="auto"/>
                        <w:left w:val="none" w:sz="0" w:space="0" w:color="auto"/>
                        <w:bottom w:val="none" w:sz="0" w:space="0" w:color="auto"/>
                        <w:right w:val="none" w:sz="0" w:space="0" w:color="auto"/>
                      </w:divBdr>
                    </w:div>
                  </w:divsChild>
                </w:div>
                <w:div w:id="971129332">
                  <w:marLeft w:val="0"/>
                  <w:marRight w:val="0"/>
                  <w:marTop w:val="0"/>
                  <w:marBottom w:val="0"/>
                  <w:divBdr>
                    <w:top w:val="none" w:sz="0" w:space="0" w:color="auto"/>
                    <w:left w:val="none" w:sz="0" w:space="0" w:color="auto"/>
                    <w:bottom w:val="none" w:sz="0" w:space="0" w:color="auto"/>
                    <w:right w:val="none" w:sz="0" w:space="0" w:color="auto"/>
                  </w:divBdr>
                  <w:divsChild>
                    <w:div w:id="263267806">
                      <w:marLeft w:val="0"/>
                      <w:marRight w:val="0"/>
                      <w:marTop w:val="0"/>
                      <w:marBottom w:val="0"/>
                      <w:divBdr>
                        <w:top w:val="none" w:sz="0" w:space="0" w:color="auto"/>
                        <w:left w:val="none" w:sz="0" w:space="0" w:color="auto"/>
                        <w:bottom w:val="none" w:sz="0" w:space="0" w:color="auto"/>
                        <w:right w:val="none" w:sz="0" w:space="0" w:color="auto"/>
                      </w:divBdr>
                    </w:div>
                    <w:div w:id="1439713776">
                      <w:marLeft w:val="0"/>
                      <w:marRight w:val="0"/>
                      <w:marTop w:val="0"/>
                      <w:marBottom w:val="0"/>
                      <w:divBdr>
                        <w:top w:val="none" w:sz="0" w:space="0" w:color="auto"/>
                        <w:left w:val="none" w:sz="0" w:space="0" w:color="auto"/>
                        <w:bottom w:val="none" w:sz="0" w:space="0" w:color="auto"/>
                        <w:right w:val="none" w:sz="0" w:space="0" w:color="auto"/>
                      </w:divBdr>
                    </w:div>
                    <w:div w:id="223027015">
                      <w:marLeft w:val="0"/>
                      <w:marRight w:val="0"/>
                      <w:marTop w:val="0"/>
                      <w:marBottom w:val="0"/>
                      <w:divBdr>
                        <w:top w:val="none" w:sz="0" w:space="0" w:color="auto"/>
                        <w:left w:val="none" w:sz="0" w:space="0" w:color="auto"/>
                        <w:bottom w:val="none" w:sz="0" w:space="0" w:color="auto"/>
                        <w:right w:val="none" w:sz="0" w:space="0" w:color="auto"/>
                      </w:divBdr>
                    </w:div>
                    <w:div w:id="106852441">
                      <w:marLeft w:val="0"/>
                      <w:marRight w:val="0"/>
                      <w:marTop w:val="0"/>
                      <w:marBottom w:val="0"/>
                      <w:divBdr>
                        <w:top w:val="none" w:sz="0" w:space="0" w:color="auto"/>
                        <w:left w:val="none" w:sz="0" w:space="0" w:color="auto"/>
                        <w:bottom w:val="none" w:sz="0" w:space="0" w:color="auto"/>
                        <w:right w:val="none" w:sz="0" w:space="0" w:color="auto"/>
                      </w:divBdr>
                    </w:div>
                  </w:divsChild>
                </w:div>
                <w:div w:id="916865975">
                  <w:marLeft w:val="0"/>
                  <w:marRight w:val="0"/>
                  <w:marTop w:val="0"/>
                  <w:marBottom w:val="0"/>
                  <w:divBdr>
                    <w:top w:val="none" w:sz="0" w:space="0" w:color="auto"/>
                    <w:left w:val="none" w:sz="0" w:space="0" w:color="auto"/>
                    <w:bottom w:val="none" w:sz="0" w:space="0" w:color="auto"/>
                    <w:right w:val="none" w:sz="0" w:space="0" w:color="auto"/>
                  </w:divBdr>
                </w:div>
                <w:div w:id="1878352843">
                  <w:marLeft w:val="0"/>
                  <w:marRight w:val="0"/>
                  <w:marTop w:val="0"/>
                  <w:marBottom w:val="0"/>
                  <w:divBdr>
                    <w:top w:val="none" w:sz="0" w:space="0" w:color="auto"/>
                    <w:left w:val="none" w:sz="0" w:space="0" w:color="auto"/>
                    <w:bottom w:val="none" w:sz="0" w:space="0" w:color="auto"/>
                    <w:right w:val="none" w:sz="0" w:space="0" w:color="auto"/>
                  </w:divBdr>
                </w:div>
                <w:div w:id="1183588378">
                  <w:marLeft w:val="0"/>
                  <w:marRight w:val="0"/>
                  <w:marTop w:val="0"/>
                  <w:marBottom w:val="0"/>
                  <w:divBdr>
                    <w:top w:val="none" w:sz="0" w:space="0" w:color="auto"/>
                    <w:left w:val="none" w:sz="0" w:space="0" w:color="auto"/>
                    <w:bottom w:val="none" w:sz="0" w:space="0" w:color="auto"/>
                    <w:right w:val="none" w:sz="0" w:space="0" w:color="auto"/>
                  </w:divBdr>
                  <w:divsChild>
                    <w:div w:id="124005081">
                      <w:marLeft w:val="0"/>
                      <w:marRight w:val="0"/>
                      <w:marTop w:val="0"/>
                      <w:marBottom w:val="0"/>
                      <w:divBdr>
                        <w:top w:val="none" w:sz="0" w:space="0" w:color="auto"/>
                        <w:left w:val="none" w:sz="0" w:space="0" w:color="auto"/>
                        <w:bottom w:val="none" w:sz="0" w:space="0" w:color="auto"/>
                        <w:right w:val="none" w:sz="0" w:space="0" w:color="auto"/>
                      </w:divBdr>
                    </w:div>
                    <w:div w:id="1601835529">
                      <w:marLeft w:val="0"/>
                      <w:marRight w:val="0"/>
                      <w:marTop w:val="0"/>
                      <w:marBottom w:val="0"/>
                      <w:divBdr>
                        <w:top w:val="none" w:sz="0" w:space="0" w:color="auto"/>
                        <w:left w:val="none" w:sz="0" w:space="0" w:color="auto"/>
                        <w:bottom w:val="none" w:sz="0" w:space="0" w:color="auto"/>
                        <w:right w:val="none" w:sz="0" w:space="0" w:color="auto"/>
                      </w:divBdr>
                    </w:div>
                    <w:div w:id="176359049">
                      <w:marLeft w:val="0"/>
                      <w:marRight w:val="0"/>
                      <w:marTop w:val="0"/>
                      <w:marBottom w:val="0"/>
                      <w:divBdr>
                        <w:top w:val="none" w:sz="0" w:space="0" w:color="auto"/>
                        <w:left w:val="none" w:sz="0" w:space="0" w:color="auto"/>
                        <w:bottom w:val="none" w:sz="0" w:space="0" w:color="auto"/>
                        <w:right w:val="none" w:sz="0" w:space="0" w:color="auto"/>
                      </w:divBdr>
                      <w:divsChild>
                        <w:div w:id="1708337803">
                          <w:marLeft w:val="0"/>
                          <w:marRight w:val="0"/>
                          <w:marTop w:val="0"/>
                          <w:marBottom w:val="0"/>
                          <w:divBdr>
                            <w:top w:val="none" w:sz="0" w:space="0" w:color="auto"/>
                            <w:left w:val="none" w:sz="0" w:space="0" w:color="auto"/>
                            <w:bottom w:val="none" w:sz="0" w:space="0" w:color="auto"/>
                            <w:right w:val="none" w:sz="0" w:space="0" w:color="auto"/>
                          </w:divBdr>
                        </w:div>
                        <w:div w:id="642856145">
                          <w:marLeft w:val="0"/>
                          <w:marRight w:val="0"/>
                          <w:marTop w:val="0"/>
                          <w:marBottom w:val="0"/>
                          <w:divBdr>
                            <w:top w:val="none" w:sz="0" w:space="0" w:color="auto"/>
                            <w:left w:val="none" w:sz="0" w:space="0" w:color="auto"/>
                            <w:bottom w:val="none" w:sz="0" w:space="0" w:color="auto"/>
                            <w:right w:val="none" w:sz="0" w:space="0" w:color="auto"/>
                          </w:divBdr>
                        </w:div>
                        <w:div w:id="1380739148">
                          <w:marLeft w:val="0"/>
                          <w:marRight w:val="0"/>
                          <w:marTop w:val="0"/>
                          <w:marBottom w:val="0"/>
                          <w:divBdr>
                            <w:top w:val="none" w:sz="0" w:space="0" w:color="auto"/>
                            <w:left w:val="none" w:sz="0" w:space="0" w:color="auto"/>
                            <w:bottom w:val="none" w:sz="0" w:space="0" w:color="auto"/>
                            <w:right w:val="none" w:sz="0" w:space="0" w:color="auto"/>
                          </w:divBdr>
                        </w:div>
                        <w:div w:id="1541358335">
                          <w:marLeft w:val="0"/>
                          <w:marRight w:val="0"/>
                          <w:marTop w:val="0"/>
                          <w:marBottom w:val="0"/>
                          <w:divBdr>
                            <w:top w:val="none" w:sz="0" w:space="0" w:color="auto"/>
                            <w:left w:val="none" w:sz="0" w:space="0" w:color="auto"/>
                            <w:bottom w:val="none" w:sz="0" w:space="0" w:color="auto"/>
                            <w:right w:val="none" w:sz="0" w:space="0" w:color="auto"/>
                          </w:divBdr>
                        </w:div>
                        <w:div w:id="1200122813">
                          <w:marLeft w:val="0"/>
                          <w:marRight w:val="0"/>
                          <w:marTop w:val="0"/>
                          <w:marBottom w:val="0"/>
                          <w:divBdr>
                            <w:top w:val="none" w:sz="0" w:space="0" w:color="auto"/>
                            <w:left w:val="none" w:sz="0" w:space="0" w:color="auto"/>
                            <w:bottom w:val="none" w:sz="0" w:space="0" w:color="auto"/>
                            <w:right w:val="none" w:sz="0" w:space="0" w:color="auto"/>
                          </w:divBdr>
                        </w:div>
                        <w:div w:id="173068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535050">
                  <w:marLeft w:val="0"/>
                  <w:marRight w:val="0"/>
                  <w:marTop w:val="0"/>
                  <w:marBottom w:val="0"/>
                  <w:divBdr>
                    <w:top w:val="none" w:sz="0" w:space="0" w:color="auto"/>
                    <w:left w:val="none" w:sz="0" w:space="0" w:color="auto"/>
                    <w:bottom w:val="none" w:sz="0" w:space="0" w:color="auto"/>
                    <w:right w:val="none" w:sz="0" w:space="0" w:color="auto"/>
                  </w:divBdr>
                </w:div>
                <w:div w:id="703290378">
                  <w:marLeft w:val="0"/>
                  <w:marRight w:val="0"/>
                  <w:marTop w:val="0"/>
                  <w:marBottom w:val="0"/>
                  <w:divBdr>
                    <w:top w:val="none" w:sz="0" w:space="0" w:color="auto"/>
                    <w:left w:val="none" w:sz="0" w:space="0" w:color="auto"/>
                    <w:bottom w:val="none" w:sz="0" w:space="0" w:color="auto"/>
                    <w:right w:val="none" w:sz="0" w:space="0" w:color="auto"/>
                  </w:divBdr>
                </w:div>
                <w:div w:id="31608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253694">
      <w:bodyDiv w:val="1"/>
      <w:marLeft w:val="0"/>
      <w:marRight w:val="0"/>
      <w:marTop w:val="0"/>
      <w:marBottom w:val="0"/>
      <w:divBdr>
        <w:top w:val="none" w:sz="0" w:space="0" w:color="auto"/>
        <w:left w:val="none" w:sz="0" w:space="0" w:color="auto"/>
        <w:bottom w:val="none" w:sz="0" w:space="0" w:color="auto"/>
        <w:right w:val="none" w:sz="0" w:space="0" w:color="auto"/>
      </w:divBdr>
      <w:divsChild>
        <w:div w:id="1840003371">
          <w:marLeft w:val="0"/>
          <w:marRight w:val="0"/>
          <w:marTop w:val="0"/>
          <w:marBottom w:val="0"/>
          <w:divBdr>
            <w:top w:val="none" w:sz="0" w:space="0" w:color="auto"/>
            <w:left w:val="none" w:sz="0" w:space="0" w:color="auto"/>
            <w:bottom w:val="none" w:sz="0" w:space="0" w:color="auto"/>
            <w:right w:val="none" w:sz="0" w:space="0" w:color="auto"/>
          </w:divBdr>
          <w:divsChild>
            <w:div w:id="1369405795">
              <w:marLeft w:val="0"/>
              <w:marRight w:val="0"/>
              <w:marTop w:val="0"/>
              <w:marBottom w:val="0"/>
              <w:divBdr>
                <w:top w:val="none" w:sz="0" w:space="0" w:color="auto"/>
                <w:left w:val="none" w:sz="0" w:space="0" w:color="auto"/>
                <w:bottom w:val="none" w:sz="0" w:space="0" w:color="auto"/>
                <w:right w:val="none" w:sz="0" w:space="0" w:color="auto"/>
              </w:divBdr>
              <w:divsChild>
                <w:div w:id="1439132468">
                  <w:marLeft w:val="0"/>
                  <w:marRight w:val="0"/>
                  <w:marTop w:val="0"/>
                  <w:marBottom w:val="0"/>
                  <w:divBdr>
                    <w:top w:val="none" w:sz="0" w:space="0" w:color="auto"/>
                    <w:left w:val="none" w:sz="0" w:space="0" w:color="auto"/>
                    <w:bottom w:val="none" w:sz="0" w:space="0" w:color="auto"/>
                    <w:right w:val="none" w:sz="0" w:space="0" w:color="auto"/>
                  </w:divBdr>
                  <w:divsChild>
                    <w:div w:id="1920284182">
                      <w:marLeft w:val="0"/>
                      <w:marRight w:val="0"/>
                      <w:marTop w:val="0"/>
                      <w:marBottom w:val="0"/>
                      <w:divBdr>
                        <w:top w:val="none" w:sz="0" w:space="0" w:color="auto"/>
                        <w:left w:val="none" w:sz="0" w:space="0" w:color="auto"/>
                        <w:bottom w:val="none" w:sz="0" w:space="0" w:color="auto"/>
                        <w:right w:val="none" w:sz="0" w:space="0" w:color="auto"/>
                      </w:divBdr>
                    </w:div>
                    <w:div w:id="105775909">
                      <w:marLeft w:val="0"/>
                      <w:marRight w:val="0"/>
                      <w:marTop w:val="0"/>
                      <w:marBottom w:val="0"/>
                      <w:divBdr>
                        <w:top w:val="none" w:sz="0" w:space="0" w:color="auto"/>
                        <w:left w:val="none" w:sz="0" w:space="0" w:color="auto"/>
                        <w:bottom w:val="none" w:sz="0" w:space="0" w:color="auto"/>
                        <w:right w:val="none" w:sz="0" w:space="0" w:color="auto"/>
                      </w:divBdr>
                    </w:div>
                    <w:div w:id="502280977">
                      <w:marLeft w:val="0"/>
                      <w:marRight w:val="0"/>
                      <w:marTop w:val="0"/>
                      <w:marBottom w:val="0"/>
                      <w:divBdr>
                        <w:top w:val="none" w:sz="0" w:space="0" w:color="auto"/>
                        <w:left w:val="none" w:sz="0" w:space="0" w:color="auto"/>
                        <w:bottom w:val="none" w:sz="0" w:space="0" w:color="auto"/>
                        <w:right w:val="none" w:sz="0" w:space="0" w:color="auto"/>
                      </w:divBdr>
                    </w:div>
                    <w:div w:id="1020669066">
                      <w:marLeft w:val="0"/>
                      <w:marRight w:val="0"/>
                      <w:marTop w:val="0"/>
                      <w:marBottom w:val="0"/>
                      <w:divBdr>
                        <w:top w:val="none" w:sz="0" w:space="0" w:color="auto"/>
                        <w:left w:val="none" w:sz="0" w:space="0" w:color="auto"/>
                        <w:bottom w:val="none" w:sz="0" w:space="0" w:color="auto"/>
                        <w:right w:val="none" w:sz="0" w:space="0" w:color="auto"/>
                      </w:divBdr>
                    </w:div>
                    <w:div w:id="959453732">
                      <w:marLeft w:val="0"/>
                      <w:marRight w:val="0"/>
                      <w:marTop w:val="0"/>
                      <w:marBottom w:val="0"/>
                      <w:divBdr>
                        <w:top w:val="none" w:sz="0" w:space="0" w:color="auto"/>
                        <w:left w:val="none" w:sz="0" w:space="0" w:color="auto"/>
                        <w:bottom w:val="none" w:sz="0" w:space="0" w:color="auto"/>
                        <w:right w:val="none" w:sz="0" w:space="0" w:color="auto"/>
                      </w:divBdr>
                    </w:div>
                    <w:div w:id="1535269372">
                      <w:marLeft w:val="0"/>
                      <w:marRight w:val="0"/>
                      <w:marTop w:val="0"/>
                      <w:marBottom w:val="0"/>
                      <w:divBdr>
                        <w:top w:val="none" w:sz="0" w:space="0" w:color="auto"/>
                        <w:left w:val="none" w:sz="0" w:space="0" w:color="auto"/>
                        <w:bottom w:val="none" w:sz="0" w:space="0" w:color="auto"/>
                        <w:right w:val="none" w:sz="0" w:space="0" w:color="auto"/>
                      </w:divBdr>
                    </w:div>
                    <w:div w:id="1255240686">
                      <w:marLeft w:val="0"/>
                      <w:marRight w:val="0"/>
                      <w:marTop w:val="0"/>
                      <w:marBottom w:val="0"/>
                      <w:divBdr>
                        <w:top w:val="none" w:sz="0" w:space="0" w:color="auto"/>
                        <w:left w:val="none" w:sz="0" w:space="0" w:color="auto"/>
                        <w:bottom w:val="none" w:sz="0" w:space="0" w:color="auto"/>
                        <w:right w:val="none" w:sz="0" w:space="0" w:color="auto"/>
                      </w:divBdr>
                    </w:div>
                    <w:div w:id="537549333">
                      <w:marLeft w:val="0"/>
                      <w:marRight w:val="0"/>
                      <w:marTop w:val="0"/>
                      <w:marBottom w:val="0"/>
                      <w:divBdr>
                        <w:top w:val="none" w:sz="0" w:space="0" w:color="auto"/>
                        <w:left w:val="none" w:sz="0" w:space="0" w:color="auto"/>
                        <w:bottom w:val="none" w:sz="0" w:space="0" w:color="auto"/>
                        <w:right w:val="none" w:sz="0" w:space="0" w:color="auto"/>
                      </w:divBdr>
                    </w:div>
                    <w:div w:id="857040238">
                      <w:marLeft w:val="0"/>
                      <w:marRight w:val="0"/>
                      <w:marTop w:val="0"/>
                      <w:marBottom w:val="0"/>
                      <w:divBdr>
                        <w:top w:val="none" w:sz="0" w:space="0" w:color="auto"/>
                        <w:left w:val="none" w:sz="0" w:space="0" w:color="auto"/>
                        <w:bottom w:val="none" w:sz="0" w:space="0" w:color="auto"/>
                        <w:right w:val="none" w:sz="0" w:space="0" w:color="auto"/>
                      </w:divBdr>
                      <w:divsChild>
                        <w:div w:id="146674160">
                          <w:marLeft w:val="0"/>
                          <w:marRight w:val="0"/>
                          <w:marTop w:val="0"/>
                          <w:marBottom w:val="0"/>
                          <w:divBdr>
                            <w:top w:val="none" w:sz="0" w:space="0" w:color="auto"/>
                            <w:left w:val="none" w:sz="0" w:space="0" w:color="auto"/>
                            <w:bottom w:val="none" w:sz="0" w:space="0" w:color="auto"/>
                            <w:right w:val="none" w:sz="0" w:space="0" w:color="auto"/>
                          </w:divBdr>
                        </w:div>
                        <w:div w:id="631519069">
                          <w:marLeft w:val="0"/>
                          <w:marRight w:val="0"/>
                          <w:marTop w:val="0"/>
                          <w:marBottom w:val="0"/>
                          <w:divBdr>
                            <w:top w:val="none" w:sz="0" w:space="0" w:color="auto"/>
                            <w:left w:val="none" w:sz="0" w:space="0" w:color="auto"/>
                            <w:bottom w:val="none" w:sz="0" w:space="0" w:color="auto"/>
                            <w:right w:val="none" w:sz="0" w:space="0" w:color="auto"/>
                          </w:divBdr>
                        </w:div>
                        <w:div w:id="12539154">
                          <w:marLeft w:val="0"/>
                          <w:marRight w:val="0"/>
                          <w:marTop w:val="0"/>
                          <w:marBottom w:val="0"/>
                          <w:divBdr>
                            <w:top w:val="none" w:sz="0" w:space="0" w:color="auto"/>
                            <w:left w:val="none" w:sz="0" w:space="0" w:color="auto"/>
                            <w:bottom w:val="none" w:sz="0" w:space="0" w:color="auto"/>
                            <w:right w:val="none" w:sz="0" w:space="0" w:color="auto"/>
                          </w:divBdr>
                        </w:div>
                        <w:div w:id="789083239">
                          <w:marLeft w:val="0"/>
                          <w:marRight w:val="0"/>
                          <w:marTop w:val="0"/>
                          <w:marBottom w:val="0"/>
                          <w:divBdr>
                            <w:top w:val="none" w:sz="0" w:space="0" w:color="auto"/>
                            <w:left w:val="none" w:sz="0" w:space="0" w:color="auto"/>
                            <w:bottom w:val="none" w:sz="0" w:space="0" w:color="auto"/>
                            <w:right w:val="none" w:sz="0" w:space="0" w:color="auto"/>
                          </w:divBdr>
                        </w:div>
                      </w:divsChild>
                    </w:div>
                    <w:div w:id="1448961796">
                      <w:marLeft w:val="0"/>
                      <w:marRight w:val="0"/>
                      <w:marTop w:val="0"/>
                      <w:marBottom w:val="0"/>
                      <w:divBdr>
                        <w:top w:val="none" w:sz="0" w:space="0" w:color="auto"/>
                        <w:left w:val="none" w:sz="0" w:space="0" w:color="auto"/>
                        <w:bottom w:val="none" w:sz="0" w:space="0" w:color="auto"/>
                        <w:right w:val="none" w:sz="0" w:space="0" w:color="auto"/>
                      </w:divBdr>
                    </w:div>
                    <w:div w:id="897403553">
                      <w:marLeft w:val="0"/>
                      <w:marRight w:val="0"/>
                      <w:marTop w:val="0"/>
                      <w:marBottom w:val="0"/>
                      <w:divBdr>
                        <w:top w:val="none" w:sz="0" w:space="0" w:color="auto"/>
                        <w:left w:val="none" w:sz="0" w:space="0" w:color="auto"/>
                        <w:bottom w:val="none" w:sz="0" w:space="0" w:color="auto"/>
                        <w:right w:val="none" w:sz="0" w:space="0" w:color="auto"/>
                      </w:divBdr>
                    </w:div>
                    <w:div w:id="356661718">
                      <w:marLeft w:val="0"/>
                      <w:marRight w:val="0"/>
                      <w:marTop w:val="0"/>
                      <w:marBottom w:val="0"/>
                      <w:divBdr>
                        <w:top w:val="none" w:sz="0" w:space="0" w:color="auto"/>
                        <w:left w:val="none" w:sz="0" w:space="0" w:color="auto"/>
                        <w:bottom w:val="none" w:sz="0" w:space="0" w:color="auto"/>
                        <w:right w:val="none" w:sz="0" w:space="0" w:color="auto"/>
                      </w:divBdr>
                    </w:div>
                  </w:divsChild>
                </w:div>
                <w:div w:id="1633095502">
                  <w:marLeft w:val="0"/>
                  <w:marRight w:val="0"/>
                  <w:marTop w:val="0"/>
                  <w:marBottom w:val="0"/>
                  <w:divBdr>
                    <w:top w:val="none" w:sz="0" w:space="0" w:color="auto"/>
                    <w:left w:val="none" w:sz="0" w:space="0" w:color="auto"/>
                    <w:bottom w:val="none" w:sz="0" w:space="0" w:color="auto"/>
                    <w:right w:val="none" w:sz="0" w:space="0" w:color="auto"/>
                  </w:divBdr>
                  <w:divsChild>
                    <w:div w:id="300892462">
                      <w:marLeft w:val="0"/>
                      <w:marRight w:val="0"/>
                      <w:marTop w:val="0"/>
                      <w:marBottom w:val="0"/>
                      <w:divBdr>
                        <w:top w:val="none" w:sz="0" w:space="0" w:color="auto"/>
                        <w:left w:val="none" w:sz="0" w:space="0" w:color="auto"/>
                        <w:bottom w:val="none" w:sz="0" w:space="0" w:color="auto"/>
                        <w:right w:val="none" w:sz="0" w:space="0" w:color="auto"/>
                      </w:divBdr>
                      <w:divsChild>
                        <w:div w:id="1382484071">
                          <w:marLeft w:val="0"/>
                          <w:marRight w:val="0"/>
                          <w:marTop w:val="0"/>
                          <w:marBottom w:val="0"/>
                          <w:divBdr>
                            <w:top w:val="none" w:sz="0" w:space="0" w:color="auto"/>
                            <w:left w:val="none" w:sz="0" w:space="0" w:color="auto"/>
                            <w:bottom w:val="none" w:sz="0" w:space="0" w:color="auto"/>
                            <w:right w:val="none" w:sz="0" w:space="0" w:color="auto"/>
                          </w:divBdr>
                        </w:div>
                        <w:div w:id="1355426497">
                          <w:marLeft w:val="0"/>
                          <w:marRight w:val="0"/>
                          <w:marTop w:val="0"/>
                          <w:marBottom w:val="0"/>
                          <w:divBdr>
                            <w:top w:val="none" w:sz="0" w:space="0" w:color="auto"/>
                            <w:left w:val="none" w:sz="0" w:space="0" w:color="auto"/>
                            <w:bottom w:val="none" w:sz="0" w:space="0" w:color="auto"/>
                            <w:right w:val="none" w:sz="0" w:space="0" w:color="auto"/>
                          </w:divBdr>
                        </w:div>
                        <w:div w:id="999389457">
                          <w:marLeft w:val="0"/>
                          <w:marRight w:val="0"/>
                          <w:marTop w:val="0"/>
                          <w:marBottom w:val="0"/>
                          <w:divBdr>
                            <w:top w:val="none" w:sz="0" w:space="0" w:color="auto"/>
                            <w:left w:val="none" w:sz="0" w:space="0" w:color="auto"/>
                            <w:bottom w:val="none" w:sz="0" w:space="0" w:color="auto"/>
                            <w:right w:val="none" w:sz="0" w:space="0" w:color="auto"/>
                          </w:divBdr>
                        </w:div>
                        <w:div w:id="681274986">
                          <w:marLeft w:val="0"/>
                          <w:marRight w:val="0"/>
                          <w:marTop w:val="0"/>
                          <w:marBottom w:val="0"/>
                          <w:divBdr>
                            <w:top w:val="none" w:sz="0" w:space="0" w:color="auto"/>
                            <w:left w:val="none" w:sz="0" w:space="0" w:color="auto"/>
                            <w:bottom w:val="none" w:sz="0" w:space="0" w:color="auto"/>
                            <w:right w:val="none" w:sz="0" w:space="0" w:color="auto"/>
                          </w:divBdr>
                        </w:div>
                      </w:divsChild>
                    </w:div>
                    <w:div w:id="215820503">
                      <w:marLeft w:val="0"/>
                      <w:marRight w:val="0"/>
                      <w:marTop w:val="0"/>
                      <w:marBottom w:val="0"/>
                      <w:divBdr>
                        <w:top w:val="none" w:sz="0" w:space="0" w:color="auto"/>
                        <w:left w:val="none" w:sz="0" w:space="0" w:color="auto"/>
                        <w:bottom w:val="none" w:sz="0" w:space="0" w:color="auto"/>
                        <w:right w:val="none" w:sz="0" w:space="0" w:color="auto"/>
                      </w:divBdr>
                    </w:div>
                  </w:divsChild>
                </w:div>
                <w:div w:id="1342120512">
                  <w:marLeft w:val="0"/>
                  <w:marRight w:val="0"/>
                  <w:marTop w:val="0"/>
                  <w:marBottom w:val="0"/>
                  <w:divBdr>
                    <w:top w:val="none" w:sz="0" w:space="0" w:color="auto"/>
                    <w:left w:val="none" w:sz="0" w:space="0" w:color="auto"/>
                    <w:bottom w:val="none" w:sz="0" w:space="0" w:color="auto"/>
                    <w:right w:val="none" w:sz="0" w:space="0" w:color="auto"/>
                  </w:divBdr>
                  <w:divsChild>
                    <w:div w:id="599606244">
                      <w:marLeft w:val="0"/>
                      <w:marRight w:val="0"/>
                      <w:marTop w:val="0"/>
                      <w:marBottom w:val="0"/>
                      <w:divBdr>
                        <w:top w:val="none" w:sz="0" w:space="0" w:color="auto"/>
                        <w:left w:val="none" w:sz="0" w:space="0" w:color="auto"/>
                        <w:bottom w:val="none" w:sz="0" w:space="0" w:color="auto"/>
                        <w:right w:val="none" w:sz="0" w:space="0" w:color="auto"/>
                      </w:divBdr>
                      <w:divsChild>
                        <w:div w:id="843010032">
                          <w:marLeft w:val="0"/>
                          <w:marRight w:val="0"/>
                          <w:marTop w:val="0"/>
                          <w:marBottom w:val="0"/>
                          <w:divBdr>
                            <w:top w:val="none" w:sz="0" w:space="0" w:color="auto"/>
                            <w:left w:val="none" w:sz="0" w:space="0" w:color="auto"/>
                            <w:bottom w:val="none" w:sz="0" w:space="0" w:color="auto"/>
                            <w:right w:val="none" w:sz="0" w:space="0" w:color="auto"/>
                          </w:divBdr>
                        </w:div>
                        <w:div w:id="1136870890">
                          <w:marLeft w:val="0"/>
                          <w:marRight w:val="0"/>
                          <w:marTop w:val="0"/>
                          <w:marBottom w:val="0"/>
                          <w:divBdr>
                            <w:top w:val="none" w:sz="0" w:space="0" w:color="auto"/>
                            <w:left w:val="none" w:sz="0" w:space="0" w:color="auto"/>
                            <w:bottom w:val="none" w:sz="0" w:space="0" w:color="auto"/>
                            <w:right w:val="none" w:sz="0" w:space="0" w:color="auto"/>
                          </w:divBdr>
                        </w:div>
                        <w:div w:id="830216159">
                          <w:marLeft w:val="0"/>
                          <w:marRight w:val="0"/>
                          <w:marTop w:val="0"/>
                          <w:marBottom w:val="0"/>
                          <w:divBdr>
                            <w:top w:val="none" w:sz="0" w:space="0" w:color="auto"/>
                            <w:left w:val="none" w:sz="0" w:space="0" w:color="auto"/>
                            <w:bottom w:val="none" w:sz="0" w:space="0" w:color="auto"/>
                            <w:right w:val="none" w:sz="0" w:space="0" w:color="auto"/>
                          </w:divBdr>
                        </w:div>
                        <w:div w:id="1729720338">
                          <w:marLeft w:val="0"/>
                          <w:marRight w:val="0"/>
                          <w:marTop w:val="0"/>
                          <w:marBottom w:val="0"/>
                          <w:divBdr>
                            <w:top w:val="none" w:sz="0" w:space="0" w:color="auto"/>
                            <w:left w:val="none" w:sz="0" w:space="0" w:color="auto"/>
                            <w:bottom w:val="none" w:sz="0" w:space="0" w:color="auto"/>
                            <w:right w:val="none" w:sz="0" w:space="0" w:color="auto"/>
                          </w:divBdr>
                        </w:div>
                        <w:div w:id="212692777">
                          <w:marLeft w:val="0"/>
                          <w:marRight w:val="0"/>
                          <w:marTop w:val="0"/>
                          <w:marBottom w:val="0"/>
                          <w:divBdr>
                            <w:top w:val="none" w:sz="0" w:space="0" w:color="auto"/>
                            <w:left w:val="none" w:sz="0" w:space="0" w:color="auto"/>
                            <w:bottom w:val="none" w:sz="0" w:space="0" w:color="auto"/>
                            <w:right w:val="none" w:sz="0" w:space="0" w:color="auto"/>
                          </w:divBdr>
                        </w:div>
                      </w:divsChild>
                    </w:div>
                    <w:div w:id="344092952">
                      <w:marLeft w:val="0"/>
                      <w:marRight w:val="0"/>
                      <w:marTop w:val="0"/>
                      <w:marBottom w:val="0"/>
                      <w:divBdr>
                        <w:top w:val="none" w:sz="0" w:space="0" w:color="auto"/>
                        <w:left w:val="none" w:sz="0" w:space="0" w:color="auto"/>
                        <w:bottom w:val="none" w:sz="0" w:space="0" w:color="auto"/>
                        <w:right w:val="none" w:sz="0" w:space="0" w:color="auto"/>
                      </w:divBdr>
                    </w:div>
                    <w:div w:id="1420758889">
                      <w:marLeft w:val="0"/>
                      <w:marRight w:val="0"/>
                      <w:marTop w:val="0"/>
                      <w:marBottom w:val="0"/>
                      <w:divBdr>
                        <w:top w:val="none" w:sz="0" w:space="0" w:color="auto"/>
                        <w:left w:val="none" w:sz="0" w:space="0" w:color="auto"/>
                        <w:bottom w:val="none" w:sz="0" w:space="0" w:color="auto"/>
                        <w:right w:val="none" w:sz="0" w:space="0" w:color="auto"/>
                      </w:divBdr>
                    </w:div>
                    <w:div w:id="214322112">
                      <w:marLeft w:val="0"/>
                      <w:marRight w:val="0"/>
                      <w:marTop w:val="0"/>
                      <w:marBottom w:val="0"/>
                      <w:divBdr>
                        <w:top w:val="none" w:sz="0" w:space="0" w:color="auto"/>
                        <w:left w:val="none" w:sz="0" w:space="0" w:color="auto"/>
                        <w:bottom w:val="none" w:sz="0" w:space="0" w:color="auto"/>
                        <w:right w:val="none" w:sz="0" w:space="0" w:color="auto"/>
                      </w:divBdr>
                      <w:divsChild>
                        <w:div w:id="1179731826">
                          <w:marLeft w:val="0"/>
                          <w:marRight w:val="0"/>
                          <w:marTop w:val="0"/>
                          <w:marBottom w:val="0"/>
                          <w:divBdr>
                            <w:top w:val="none" w:sz="0" w:space="0" w:color="auto"/>
                            <w:left w:val="none" w:sz="0" w:space="0" w:color="auto"/>
                            <w:bottom w:val="none" w:sz="0" w:space="0" w:color="auto"/>
                            <w:right w:val="none" w:sz="0" w:space="0" w:color="auto"/>
                          </w:divBdr>
                        </w:div>
                        <w:div w:id="2031369547">
                          <w:marLeft w:val="0"/>
                          <w:marRight w:val="0"/>
                          <w:marTop w:val="0"/>
                          <w:marBottom w:val="0"/>
                          <w:divBdr>
                            <w:top w:val="none" w:sz="0" w:space="0" w:color="auto"/>
                            <w:left w:val="none" w:sz="0" w:space="0" w:color="auto"/>
                            <w:bottom w:val="none" w:sz="0" w:space="0" w:color="auto"/>
                            <w:right w:val="none" w:sz="0" w:space="0" w:color="auto"/>
                          </w:divBdr>
                        </w:div>
                        <w:div w:id="1849053003">
                          <w:marLeft w:val="0"/>
                          <w:marRight w:val="0"/>
                          <w:marTop w:val="0"/>
                          <w:marBottom w:val="0"/>
                          <w:divBdr>
                            <w:top w:val="none" w:sz="0" w:space="0" w:color="auto"/>
                            <w:left w:val="none" w:sz="0" w:space="0" w:color="auto"/>
                            <w:bottom w:val="none" w:sz="0" w:space="0" w:color="auto"/>
                            <w:right w:val="none" w:sz="0" w:space="0" w:color="auto"/>
                          </w:divBdr>
                        </w:div>
                        <w:div w:id="246306128">
                          <w:marLeft w:val="0"/>
                          <w:marRight w:val="0"/>
                          <w:marTop w:val="0"/>
                          <w:marBottom w:val="0"/>
                          <w:divBdr>
                            <w:top w:val="none" w:sz="0" w:space="0" w:color="auto"/>
                            <w:left w:val="none" w:sz="0" w:space="0" w:color="auto"/>
                            <w:bottom w:val="none" w:sz="0" w:space="0" w:color="auto"/>
                            <w:right w:val="none" w:sz="0" w:space="0" w:color="auto"/>
                          </w:divBdr>
                        </w:div>
                        <w:div w:id="292294954">
                          <w:marLeft w:val="0"/>
                          <w:marRight w:val="0"/>
                          <w:marTop w:val="0"/>
                          <w:marBottom w:val="0"/>
                          <w:divBdr>
                            <w:top w:val="none" w:sz="0" w:space="0" w:color="auto"/>
                            <w:left w:val="none" w:sz="0" w:space="0" w:color="auto"/>
                            <w:bottom w:val="none" w:sz="0" w:space="0" w:color="auto"/>
                            <w:right w:val="none" w:sz="0" w:space="0" w:color="auto"/>
                          </w:divBdr>
                        </w:div>
                      </w:divsChild>
                    </w:div>
                    <w:div w:id="770852573">
                      <w:marLeft w:val="0"/>
                      <w:marRight w:val="0"/>
                      <w:marTop w:val="0"/>
                      <w:marBottom w:val="0"/>
                      <w:divBdr>
                        <w:top w:val="none" w:sz="0" w:space="0" w:color="auto"/>
                        <w:left w:val="none" w:sz="0" w:space="0" w:color="auto"/>
                        <w:bottom w:val="none" w:sz="0" w:space="0" w:color="auto"/>
                        <w:right w:val="none" w:sz="0" w:space="0" w:color="auto"/>
                      </w:divBdr>
                    </w:div>
                    <w:div w:id="572155169">
                      <w:marLeft w:val="0"/>
                      <w:marRight w:val="0"/>
                      <w:marTop w:val="0"/>
                      <w:marBottom w:val="0"/>
                      <w:divBdr>
                        <w:top w:val="none" w:sz="0" w:space="0" w:color="auto"/>
                        <w:left w:val="none" w:sz="0" w:space="0" w:color="auto"/>
                        <w:bottom w:val="none" w:sz="0" w:space="0" w:color="auto"/>
                        <w:right w:val="none" w:sz="0" w:space="0" w:color="auto"/>
                      </w:divBdr>
                    </w:div>
                  </w:divsChild>
                </w:div>
                <w:div w:id="1170801381">
                  <w:marLeft w:val="0"/>
                  <w:marRight w:val="0"/>
                  <w:marTop w:val="0"/>
                  <w:marBottom w:val="0"/>
                  <w:divBdr>
                    <w:top w:val="none" w:sz="0" w:space="0" w:color="auto"/>
                    <w:left w:val="none" w:sz="0" w:space="0" w:color="auto"/>
                    <w:bottom w:val="none" w:sz="0" w:space="0" w:color="auto"/>
                    <w:right w:val="none" w:sz="0" w:space="0" w:color="auto"/>
                  </w:divBdr>
                  <w:divsChild>
                    <w:div w:id="291524220">
                      <w:marLeft w:val="0"/>
                      <w:marRight w:val="0"/>
                      <w:marTop w:val="0"/>
                      <w:marBottom w:val="0"/>
                      <w:divBdr>
                        <w:top w:val="none" w:sz="0" w:space="0" w:color="auto"/>
                        <w:left w:val="none" w:sz="0" w:space="0" w:color="auto"/>
                        <w:bottom w:val="none" w:sz="0" w:space="0" w:color="auto"/>
                        <w:right w:val="none" w:sz="0" w:space="0" w:color="auto"/>
                      </w:divBdr>
                    </w:div>
                    <w:div w:id="67000635">
                      <w:marLeft w:val="0"/>
                      <w:marRight w:val="0"/>
                      <w:marTop w:val="0"/>
                      <w:marBottom w:val="0"/>
                      <w:divBdr>
                        <w:top w:val="none" w:sz="0" w:space="0" w:color="auto"/>
                        <w:left w:val="none" w:sz="0" w:space="0" w:color="auto"/>
                        <w:bottom w:val="none" w:sz="0" w:space="0" w:color="auto"/>
                        <w:right w:val="none" w:sz="0" w:space="0" w:color="auto"/>
                      </w:divBdr>
                    </w:div>
                    <w:div w:id="1613517303">
                      <w:marLeft w:val="0"/>
                      <w:marRight w:val="0"/>
                      <w:marTop w:val="0"/>
                      <w:marBottom w:val="0"/>
                      <w:divBdr>
                        <w:top w:val="none" w:sz="0" w:space="0" w:color="auto"/>
                        <w:left w:val="none" w:sz="0" w:space="0" w:color="auto"/>
                        <w:bottom w:val="none" w:sz="0" w:space="0" w:color="auto"/>
                        <w:right w:val="none" w:sz="0" w:space="0" w:color="auto"/>
                      </w:divBdr>
                    </w:div>
                    <w:div w:id="191966785">
                      <w:marLeft w:val="0"/>
                      <w:marRight w:val="0"/>
                      <w:marTop w:val="0"/>
                      <w:marBottom w:val="0"/>
                      <w:divBdr>
                        <w:top w:val="none" w:sz="0" w:space="0" w:color="auto"/>
                        <w:left w:val="none" w:sz="0" w:space="0" w:color="auto"/>
                        <w:bottom w:val="none" w:sz="0" w:space="0" w:color="auto"/>
                        <w:right w:val="none" w:sz="0" w:space="0" w:color="auto"/>
                      </w:divBdr>
                    </w:div>
                    <w:div w:id="473108362">
                      <w:marLeft w:val="0"/>
                      <w:marRight w:val="0"/>
                      <w:marTop w:val="0"/>
                      <w:marBottom w:val="0"/>
                      <w:divBdr>
                        <w:top w:val="none" w:sz="0" w:space="0" w:color="auto"/>
                        <w:left w:val="none" w:sz="0" w:space="0" w:color="auto"/>
                        <w:bottom w:val="none" w:sz="0" w:space="0" w:color="auto"/>
                        <w:right w:val="none" w:sz="0" w:space="0" w:color="auto"/>
                      </w:divBdr>
                    </w:div>
                    <w:div w:id="637224193">
                      <w:marLeft w:val="0"/>
                      <w:marRight w:val="0"/>
                      <w:marTop w:val="0"/>
                      <w:marBottom w:val="0"/>
                      <w:divBdr>
                        <w:top w:val="none" w:sz="0" w:space="0" w:color="auto"/>
                        <w:left w:val="none" w:sz="0" w:space="0" w:color="auto"/>
                        <w:bottom w:val="none" w:sz="0" w:space="0" w:color="auto"/>
                        <w:right w:val="none" w:sz="0" w:space="0" w:color="auto"/>
                      </w:divBdr>
                    </w:div>
                  </w:divsChild>
                </w:div>
                <w:div w:id="819077910">
                  <w:marLeft w:val="0"/>
                  <w:marRight w:val="0"/>
                  <w:marTop w:val="0"/>
                  <w:marBottom w:val="0"/>
                  <w:divBdr>
                    <w:top w:val="none" w:sz="0" w:space="0" w:color="auto"/>
                    <w:left w:val="none" w:sz="0" w:space="0" w:color="auto"/>
                    <w:bottom w:val="none" w:sz="0" w:space="0" w:color="auto"/>
                    <w:right w:val="none" w:sz="0" w:space="0" w:color="auto"/>
                  </w:divBdr>
                  <w:divsChild>
                    <w:div w:id="476922434">
                      <w:marLeft w:val="0"/>
                      <w:marRight w:val="0"/>
                      <w:marTop w:val="0"/>
                      <w:marBottom w:val="0"/>
                      <w:divBdr>
                        <w:top w:val="none" w:sz="0" w:space="0" w:color="auto"/>
                        <w:left w:val="none" w:sz="0" w:space="0" w:color="auto"/>
                        <w:bottom w:val="none" w:sz="0" w:space="0" w:color="auto"/>
                        <w:right w:val="none" w:sz="0" w:space="0" w:color="auto"/>
                      </w:divBdr>
                    </w:div>
                    <w:div w:id="2077584151">
                      <w:marLeft w:val="0"/>
                      <w:marRight w:val="0"/>
                      <w:marTop w:val="0"/>
                      <w:marBottom w:val="0"/>
                      <w:divBdr>
                        <w:top w:val="none" w:sz="0" w:space="0" w:color="auto"/>
                        <w:left w:val="none" w:sz="0" w:space="0" w:color="auto"/>
                        <w:bottom w:val="none" w:sz="0" w:space="0" w:color="auto"/>
                        <w:right w:val="none" w:sz="0" w:space="0" w:color="auto"/>
                      </w:divBdr>
                      <w:divsChild>
                        <w:div w:id="1771122703">
                          <w:marLeft w:val="0"/>
                          <w:marRight w:val="0"/>
                          <w:marTop w:val="0"/>
                          <w:marBottom w:val="0"/>
                          <w:divBdr>
                            <w:top w:val="none" w:sz="0" w:space="0" w:color="auto"/>
                            <w:left w:val="none" w:sz="0" w:space="0" w:color="auto"/>
                            <w:bottom w:val="none" w:sz="0" w:space="0" w:color="auto"/>
                            <w:right w:val="none" w:sz="0" w:space="0" w:color="auto"/>
                          </w:divBdr>
                        </w:div>
                        <w:div w:id="1460874494">
                          <w:marLeft w:val="0"/>
                          <w:marRight w:val="0"/>
                          <w:marTop w:val="0"/>
                          <w:marBottom w:val="0"/>
                          <w:divBdr>
                            <w:top w:val="none" w:sz="0" w:space="0" w:color="auto"/>
                            <w:left w:val="none" w:sz="0" w:space="0" w:color="auto"/>
                            <w:bottom w:val="none" w:sz="0" w:space="0" w:color="auto"/>
                            <w:right w:val="none" w:sz="0" w:space="0" w:color="auto"/>
                          </w:divBdr>
                        </w:div>
                        <w:div w:id="439301841">
                          <w:marLeft w:val="0"/>
                          <w:marRight w:val="0"/>
                          <w:marTop w:val="0"/>
                          <w:marBottom w:val="0"/>
                          <w:divBdr>
                            <w:top w:val="none" w:sz="0" w:space="0" w:color="auto"/>
                            <w:left w:val="none" w:sz="0" w:space="0" w:color="auto"/>
                            <w:bottom w:val="none" w:sz="0" w:space="0" w:color="auto"/>
                            <w:right w:val="none" w:sz="0" w:space="0" w:color="auto"/>
                          </w:divBdr>
                        </w:div>
                      </w:divsChild>
                    </w:div>
                    <w:div w:id="158735039">
                      <w:marLeft w:val="0"/>
                      <w:marRight w:val="0"/>
                      <w:marTop w:val="0"/>
                      <w:marBottom w:val="0"/>
                      <w:divBdr>
                        <w:top w:val="none" w:sz="0" w:space="0" w:color="auto"/>
                        <w:left w:val="none" w:sz="0" w:space="0" w:color="auto"/>
                        <w:bottom w:val="none" w:sz="0" w:space="0" w:color="auto"/>
                        <w:right w:val="none" w:sz="0" w:space="0" w:color="auto"/>
                      </w:divBdr>
                    </w:div>
                    <w:div w:id="506022414">
                      <w:marLeft w:val="0"/>
                      <w:marRight w:val="0"/>
                      <w:marTop w:val="0"/>
                      <w:marBottom w:val="0"/>
                      <w:divBdr>
                        <w:top w:val="none" w:sz="0" w:space="0" w:color="auto"/>
                        <w:left w:val="none" w:sz="0" w:space="0" w:color="auto"/>
                        <w:bottom w:val="none" w:sz="0" w:space="0" w:color="auto"/>
                        <w:right w:val="none" w:sz="0" w:space="0" w:color="auto"/>
                      </w:divBdr>
                    </w:div>
                    <w:div w:id="1057508160">
                      <w:marLeft w:val="0"/>
                      <w:marRight w:val="0"/>
                      <w:marTop w:val="0"/>
                      <w:marBottom w:val="0"/>
                      <w:divBdr>
                        <w:top w:val="none" w:sz="0" w:space="0" w:color="auto"/>
                        <w:left w:val="none" w:sz="0" w:space="0" w:color="auto"/>
                        <w:bottom w:val="none" w:sz="0" w:space="0" w:color="auto"/>
                        <w:right w:val="none" w:sz="0" w:space="0" w:color="auto"/>
                      </w:divBdr>
                      <w:divsChild>
                        <w:div w:id="452527508">
                          <w:marLeft w:val="0"/>
                          <w:marRight w:val="0"/>
                          <w:marTop w:val="0"/>
                          <w:marBottom w:val="0"/>
                          <w:divBdr>
                            <w:top w:val="none" w:sz="0" w:space="0" w:color="auto"/>
                            <w:left w:val="none" w:sz="0" w:space="0" w:color="auto"/>
                            <w:bottom w:val="none" w:sz="0" w:space="0" w:color="auto"/>
                            <w:right w:val="none" w:sz="0" w:space="0" w:color="auto"/>
                          </w:divBdr>
                        </w:div>
                        <w:div w:id="48849301">
                          <w:marLeft w:val="0"/>
                          <w:marRight w:val="0"/>
                          <w:marTop w:val="0"/>
                          <w:marBottom w:val="0"/>
                          <w:divBdr>
                            <w:top w:val="none" w:sz="0" w:space="0" w:color="auto"/>
                            <w:left w:val="none" w:sz="0" w:space="0" w:color="auto"/>
                            <w:bottom w:val="none" w:sz="0" w:space="0" w:color="auto"/>
                            <w:right w:val="none" w:sz="0" w:space="0" w:color="auto"/>
                          </w:divBdr>
                        </w:div>
                        <w:div w:id="1030646102">
                          <w:marLeft w:val="0"/>
                          <w:marRight w:val="0"/>
                          <w:marTop w:val="0"/>
                          <w:marBottom w:val="0"/>
                          <w:divBdr>
                            <w:top w:val="none" w:sz="0" w:space="0" w:color="auto"/>
                            <w:left w:val="none" w:sz="0" w:space="0" w:color="auto"/>
                            <w:bottom w:val="none" w:sz="0" w:space="0" w:color="auto"/>
                            <w:right w:val="none" w:sz="0" w:space="0" w:color="auto"/>
                          </w:divBdr>
                        </w:div>
                      </w:divsChild>
                    </w:div>
                    <w:div w:id="1828207360">
                      <w:marLeft w:val="0"/>
                      <w:marRight w:val="0"/>
                      <w:marTop w:val="0"/>
                      <w:marBottom w:val="0"/>
                      <w:divBdr>
                        <w:top w:val="none" w:sz="0" w:space="0" w:color="auto"/>
                        <w:left w:val="none" w:sz="0" w:space="0" w:color="auto"/>
                        <w:bottom w:val="none" w:sz="0" w:space="0" w:color="auto"/>
                        <w:right w:val="none" w:sz="0" w:space="0" w:color="auto"/>
                      </w:divBdr>
                    </w:div>
                    <w:div w:id="2083526556">
                      <w:marLeft w:val="0"/>
                      <w:marRight w:val="0"/>
                      <w:marTop w:val="0"/>
                      <w:marBottom w:val="0"/>
                      <w:divBdr>
                        <w:top w:val="none" w:sz="0" w:space="0" w:color="auto"/>
                        <w:left w:val="none" w:sz="0" w:space="0" w:color="auto"/>
                        <w:bottom w:val="none" w:sz="0" w:space="0" w:color="auto"/>
                        <w:right w:val="none" w:sz="0" w:space="0" w:color="auto"/>
                      </w:divBdr>
                    </w:div>
                    <w:div w:id="1024017677">
                      <w:marLeft w:val="0"/>
                      <w:marRight w:val="0"/>
                      <w:marTop w:val="0"/>
                      <w:marBottom w:val="0"/>
                      <w:divBdr>
                        <w:top w:val="none" w:sz="0" w:space="0" w:color="auto"/>
                        <w:left w:val="none" w:sz="0" w:space="0" w:color="auto"/>
                        <w:bottom w:val="none" w:sz="0" w:space="0" w:color="auto"/>
                        <w:right w:val="none" w:sz="0" w:space="0" w:color="auto"/>
                      </w:divBdr>
                    </w:div>
                  </w:divsChild>
                </w:div>
                <w:div w:id="1867672802">
                  <w:marLeft w:val="0"/>
                  <w:marRight w:val="0"/>
                  <w:marTop w:val="0"/>
                  <w:marBottom w:val="0"/>
                  <w:divBdr>
                    <w:top w:val="none" w:sz="0" w:space="0" w:color="auto"/>
                    <w:left w:val="none" w:sz="0" w:space="0" w:color="auto"/>
                    <w:bottom w:val="none" w:sz="0" w:space="0" w:color="auto"/>
                    <w:right w:val="none" w:sz="0" w:space="0" w:color="auto"/>
                  </w:divBdr>
                  <w:divsChild>
                    <w:div w:id="76903727">
                      <w:marLeft w:val="0"/>
                      <w:marRight w:val="0"/>
                      <w:marTop w:val="0"/>
                      <w:marBottom w:val="0"/>
                      <w:divBdr>
                        <w:top w:val="none" w:sz="0" w:space="0" w:color="auto"/>
                        <w:left w:val="none" w:sz="0" w:space="0" w:color="auto"/>
                        <w:bottom w:val="none" w:sz="0" w:space="0" w:color="auto"/>
                        <w:right w:val="none" w:sz="0" w:space="0" w:color="auto"/>
                      </w:divBdr>
                    </w:div>
                    <w:div w:id="1197155076">
                      <w:marLeft w:val="0"/>
                      <w:marRight w:val="0"/>
                      <w:marTop w:val="0"/>
                      <w:marBottom w:val="0"/>
                      <w:divBdr>
                        <w:top w:val="none" w:sz="0" w:space="0" w:color="auto"/>
                        <w:left w:val="none" w:sz="0" w:space="0" w:color="auto"/>
                        <w:bottom w:val="none" w:sz="0" w:space="0" w:color="auto"/>
                        <w:right w:val="none" w:sz="0" w:space="0" w:color="auto"/>
                      </w:divBdr>
                    </w:div>
                    <w:div w:id="1810199373">
                      <w:marLeft w:val="0"/>
                      <w:marRight w:val="0"/>
                      <w:marTop w:val="0"/>
                      <w:marBottom w:val="0"/>
                      <w:divBdr>
                        <w:top w:val="none" w:sz="0" w:space="0" w:color="auto"/>
                        <w:left w:val="none" w:sz="0" w:space="0" w:color="auto"/>
                        <w:bottom w:val="none" w:sz="0" w:space="0" w:color="auto"/>
                        <w:right w:val="none" w:sz="0" w:space="0" w:color="auto"/>
                      </w:divBdr>
                    </w:div>
                  </w:divsChild>
                </w:div>
                <w:div w:id="729036848">
                  <w:marLeft w:val="0"/>
                  <w:marRight w:val="0"/>
                  <w:marTop w:val="0"/>
                  <w:marBottom w:val="0"/>
                  <w:divBdr>
                    <w:top w:val="none" w:sz="0" w:space="0" w:color="auto"/>
                    <w:left w:val="none" w:sz="0" w:space="0" w:color="auto"/>
                    <w:bottom w:val="none" w:sz="0" w:space="0" w:color="auto"/>
                    <w:right w:val="none" w:sz="0" w:space="0" w:color="auto"/>
                  </w:divBdr>
                  <w:divsChild>
                    <w:div w:id="1769737417">
                      <w:marLeft w:val="0"/>
                      <w:marRight w:val="0"/>
                      <w:marTop w:val="0"/>
                      <w:marBottom w:val="0"/>
                      <w:divBdr>
                        <w:top w:val="none" w:sz="0" w:space="0" w:color="auto"/>
                        <w:left w:val="none" w:sz="0" w:space="0" w:color="auto"/>
                        <w:bottom w:val="none" w:sz="0" w:space="0" w:color="auto"/>
                        <w:right w:val="none" w:sz="0" w:space="0" w:color="auto"/>
                      </w:divBdr>
                      <w:divsChild>
                        <w:div w:id="883105765">
                          <w:marLeft w:val="0"/>
                          <w:marRight w:val="0"/>
                          <w:marTop w:val="0"/>
                          <w:marBottom w:val="0"/>
                          <w:divBdr>
                            <w:top w:val="none" w:sz="0" w:space="0" w:color="auto"/>
                            <w:left w:val="none" w:sz="0" w:space="0" w:color="auto"/>
                            <w:bottom w:val="none" w:sz="0" w:space="0" w:color="auto"/>
                            <w:right w:val="none" w:sz="0" w:space="0" w:color="auto"/>
                          </w:divBdr>
                        </w:div>
                        <w:div w:id="549150495">
                          <w:marLeft w:val="0"/>
                          <w:marRight w:val="0"/>
                          <w:marTop w:val="0"/>
                          <w:marBottom w:val="0"/>
                          <w:divBdr>
                            <w:top w:val="none" w:sz="0" w:space="0" w:color="auto"/>
                            <w:left w:val="none" w:sz="0" w:space="0" w:color="auto"/>
                            <w:bottom w:val="none" w:sz="0" w:space="0" w:color="auto"/>
                            <w:right w:val="none" w:sz="0" w:space="0" w:color="auto"/>
                          </w:divBdr>
                        </w:div>
                        <w:div w:id="1100031987">
                          <w:marLeft w:val="0"/>
                          <w:marRight w:val="0"/>
                          <w:marTop w:val="0"/>
                          <w:marBottom w:val="0"/>
                          <w:divBdr>
                            <w:top w:val="none" w:sz="0" w:space="0" w:color="auto"/>
                            <w:left w:val="none" w:sz="0" w:space="0" w:color="auto"/>
                            <w:bottom w:val="none" w:sz="0" w:space="0" w:color="auto"/>
                            <w:right w:val="none" w:sz="0" w:space="0" w:color="auto"/>
                          </w:divBdr>
                        </w:div>
                        <w:div w:id="883641960">
                          <w:marLeft w:val="0"/>
                          <w:marRight w:val="0"/>
                          <w:marTop w:val="0"/>
                          <w:marBottom w:val="0"/>
                          <w:divBdr>
                            <w:top w:val="none" w:sz="0" w:space="0" w:color="auto"/>
                            <w:left w:val="none" w:sz="0" w:space="0" w:color="auto"/>
                            <w:bottom w:val="none" w:sz="0" w:space="0" w:color="auto"/>
                            <w:right w:val="none" w:sz="0" w:space="0" w:color="auto"/>
                          </w:divBdr>
                        </w:div>
                        <w:div w:id="135218502">
                          <w:marLeft w:val="0"/>
                          <w:marRight w:val="0"/>
                          <w:marTop w:val="0"/>
                          <w:marBottom w:val="0"/>
                          <w:divBdr>
                            <w:top w:val="none" w:sz="0" w:space="0" w:color="auto"/>
                            <w:left w:val="none" w:sz="0" w:space="0" w:color="auto"/>
                            <w:bottom w:val="none" w:sz="0" w:space="0" w:color="auto"/>
                            <w:right w:val="none" w:sz="0" w:space="0" w:color="auto"/>
                          </w:divBdr>
                        </w:div>
                        <w:div w:id="953705307">
                          <w:marLeft w:val="0"/>
                          <w:marRight w:val="0"/>
                          <w:marTop w:val="0"/>
                          <w:marBottom w:val="0"/>
                          <w:divBdr>
                            <w:top w:val="none" w:sz="0" w:space="0" w:color="auto"/>
                            <w:left w:val="none" w:sz="0" w:space="0" w:color="auto"/>
                            <w:bottom w:val="none" w:sz="0" w:space="0" w:color="auto"/>
                            <w:right w:val="none" w:sz="0" w:space="0" w:color="auto"/>
                          </w:divBdr>
                        </w:div>
                        <w:div w:id="952638897">
                          <w:marLeft w:val="0"/>
                          <w:marRight w:val="0"/>
                          <w:marTop w:val="0"/>
                          <w:marBottom w:val="0"/>
                          <w:divBdr>
                            <w:top w:val="none" w:sz="0" w:space="0" w:color="auto"/>
                            <w:left w:val="none" w:sz="0" w:space="0" w:color="auto"/>
                            <w:bottom w:val="none" w:sz="0" w:space="0" w:color="auto"/>
                            <w:right w:val="none" w:sz="0" w:space="0" w:color="auto"/>
                          </w:divBdr>
                        </w:div>
                        <w:div w:id="262301509">
                          <w:marLeft w:val="0"/>
                          <w:marRight w:val="0"/>
                          <w:marTop w:val="0"/>
                          <w:marBottom w:val="0"/>
                          <w:divBdr>
                            <w:top w:val="none" w:sz="0" w:space="0" w:color="auto"/>
                            <w:left w:val="none" w:sz="0" w:space="0" w:color="auto"/>
                            <w:bottom w:val="none" w:sz="0" w:space="0" w:color="auto"/>
                            <w:right w:val="none" w:sz="0" w:space="0" w:color="auto"/>
                          </w:divBdr>
                        </w:div>
                        <w:div w:id="2025201459">
                          <w:marLeft w:val="0"/>
                          <w:marRight w:val="0"/>
                          <w:marTop w:val="0"/>
                          <w:marBottom w:val="0"/>
                          <w:divBdr>
                            <w:top w:val="none" w:sz="0" w:space="0" w:color="auto"/>
                            <w:left w:val="none" w:sz="0" w:space="0" w:color="auto"/>
                            <w:bottom w:val="none" w:sz="0" w:space="0" w:color="auto"/>
                            <w:right w:val="none" w:sz="0" w:space="0" w:color="auto"/>
                          </w:divBdr>
                        </w:div>
                      </w:divsChild>
                    </w:div>
                    <w:div w:id="876508813">
                      <w:marLeft w:val="0"/>
                      <w:marRight w:val="0"/>
                      <w:marTop w:val="0"/>
                      <w:marBottom w:val="0"/>
                      <w:divBdr>
                        <w:top w:val="none" w:sz="0" w:space="0" w:color="auto"/>
                        <w:left w:val="none" w:sz="0" w:space="0" w:color="auto"/>
                        <w:bottom w:val="none" w:sz="0" w:space="0" w:color="auto"/>
                        <w:right w:val="none" w:sz="0" w:space="0" w:color="auto"/>
                      </w:divBdr>
                      <w:divsChild>
                        <w:div w:id="2132438917">
                          <w:marLeft w:val="0"/>
                          <w:marRight w:val="0"/>
                          <w:marTop w:val="0"/>
                          <w:marBottom w:val="0"/>
                          <w:divBdr>
                            <w:top w:val="none" w:sz="0" w:space="0" w:color="auto"/>
                            <w:left w:val="none" w:sz="0" w:space="0" w:color="auto"/>
                            <w:bottom w:val="none" w:sz="0" w:space="0" w:color="auto"/>
                            <w:right w:val="none" w:sz="0" w:space="0" w:color="auto"/>
                          </w:divBdr>
                        </w:div>
                        <w:div w:id="1739403905">
                          <w:marLeft w:val="0"/>
                          <w:marRight w:val="0"/>
                          <w:marTop w:val="0"/>
                          <w:marBottom w:val="0"/>
                          <w:divBdr>
                            <w:top w:val="none" w:sz="0" w:space="0" w:color="auto"/>
                            <w:left w:val="none" w:sz="0" w:space="0" w:color="auto"/>
                            <w:bottom w:val="none" w:sz="0" w:space="0" w:color="auto"/>
                            <w:right w:val="none" w:sz="0" w:space="0" w:color="auto"/>
                          </w:divBdr>
                        </w:div>
                        <w:div w:id="43155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516790">
                  <w:marLeft w:val="0"/>
                  <w:marRight w:val="0"/>
                  <w:marTop w:val="0"/>
                  <w:marBottom w:val="0"/>
                  <w:divBdr>
                    <w:top w:val="none" w:sz="0" w:space="0" w:color="auto"/>
                    <w:left w:val="none" w:sz="0" w:space="0" w:color="auto"/>
                    <w:bottom w:val="none" w:sz="0" w:space="0" w:color="auto"/>
                    <w:right w:val="none" w:sz="0" w:space="0" w:color="auto"/>
                  </w:divBdr>
                  <w:divsChild>
                    <w:div w:id="645281589">
                      <w:marLeft w:val="0"/>
                      <w:marRight w:val="0"/>
                      <w:marTop w:val="0"/>
                      <w:marBottom w:val="0"/>
                      <w:divBdr>
                        <w:top w:val="none" w:sz="0" w:space="0" w:color="auto"/>
                        <w:left w:val="none" w:sz="0" w:space="0" w:color="auto"/>
                        <w:bottom w:val="none" w:sz="0" w:space="0" w:color="auto"/>
                        <w:right w:val="none" w:sz="0" w:space="0" w:color="auto"/>
                      </w:divBdr>
                    </w:div>
                    <w:div w:id="2078548260">
                      <w:marLeft w:val="0"/>
                      <w:marRight w:val="0"/>
                      <w:marTop w:val="0"/>
                      <w:marBottom w:val="0"/>
                      <w:divBdr>
                        <w:top w:val="none" w:sz="0" w:space="0" w:color="auto"/>
                        <w:left w:val="none" w:sz="0" w:space="0" w:color="auto"/>
                        <w:bottom w:val="none" w:sz="0" w:space="0" w:color="auto"/>
                        <w:right w:val="none" w:sz="0" w:space="0" w:color="auto"/>
                      </w:divBdr>
                    </w:div>
                    <w:div w:id="2005818222">
                      <w:marLeft w:val="0"/>
                      <w:marRight w:val="0"/>
                      <w:marTop w:val="0"/>
                      <w:marBottom w:val="0"/>
                      <w:divBdr>
                        <w:top w:val="none" w:sz="0" w:space="0" w:color="auto"/>
                        <w:left w:val="none" w:sz="0" w:space="0" w:color="auto"/>
                        <w:bottom w:val="none" w:sz="0" w:space="0" w:color="auto"/>
                        <w:right w:val="none" w:sz="0" w:space="0" w:color="auto"/>
                      </w:divBdr>
                    </w:div>
                    <w:div w:id="848831820">
                      <w:marLeft w:val="0"/>
                      <w:marRight w:val="0"/>
                      <w:marTop w:val="0"/>
                      <w:marBottom w:val="0"/>
                      <w:divBdr>
                        <w:top w:val="none" w:sz="0" w:space="0" w:color="auto"/>
                        <w:left w:val="none" w:sz="0" w:space="0" w:color="auto"/>
                        <w:bottom w:val="none" w:sz="0" w:space="0" w:color="auto"/>
                        <w:right w:val="none" w:sz="0" w:space="0" w:color="auto"/>
                      </w:divBdr>
                    </w:div>
                    <w:div w:id="1909268821">
                      <w:marLeft w:val="0"/>
                      <w:marRight w:val="0"/>
                      <w:marTop w:val="0"/>
                      <w:marBottom w:val="0"/>
                      <w:divBdr>
                        <w:top w:val="none" w:sz="0" w:space="0" w:color="auto"/>
                        <w:left w:val="none" w:sz="0" w:space="0" w:color="auto"/>
                        <w:bottom w:val="none" w:sz="0" w:space="0" w:color="auto"/>
                        <w:right w:val="none" w:sz="0" w:space="0" w:color="auto"/>
                      </w:divBdr>
                    </w:div>
                  </w:divsChild>
                </w:div>
                <w:div w:id="1973704671">
                  <w:marLeft w:val="0"/>
                  <w:marRight w:val="0"/>
                  <w:marTop w:val="0"/>
                  <w:marBottom w:val="0"/>
                  <w:divBdr>
                    <w:top w:val="none" w:sz="0" w:space="0" w:color="auto"/>
                    <w:left w:val="none" w:sz="0" w:space="0" w:color="auto"/>
                    <w:bottom w:val="none" w:sz="0" w:space="0" w:color="auto"/>
                    <w:right w:val="none" w:sz="0" w:space="0" w:color="auto"/>
                  </w:divBdr>
                  <w:divsChild>
                    <w:div w:id="804733330">
                      <w:marLeft w:val="0"/>
                      <w:marRight w:val="0"/>
                      <w:marTop w:val="0"/>
                      <w:marBottom w:val="0"/>
                      <w:divBdr>
                        <w:top w:val="none" w:sz="0" w:space="0" w:color="auto"/>
                        <w:left w:val="none" w:sz="0" w:space="0" w:color="auto"/>
                        <w:bottom w:val="none" w:sz="0" w:space="0" w:color="auto"/>
                        <w:right w:val="none" w:sz="0" w:space="0" w:color="auto"/>
                      </w:divBdr>
                    </w:div>
                    <w:div w:id="452752448">
                      <w:marLeft w:val="0"/>
                      <w:marRight w:val="0"/>
                      <w:marTop w:val="0"/>
                      <w:marBottom w:val="0"/>
                      <w:divBdr>
                        <w:top w:val="none" w:sz="0" w:space="0" w:color="auto"/>
                        <w:left w:val="none" w:sz="0" w:space="0" w:color="auto"/>
                        <w:bottom w:val="none" w:sz="0" w:space="0" w:color="auto"/>
                        <w:right w:val="none" w:sz="0" w:space="0" w:color="auto"/>
                      </w:divBdr>
                    </w:div>
                    <w:div w:id="2027709804">
                      <w:marLeft w:val="0"/>
                      <w:marRight w:val="0"/>
                      <w:marTop w:val="0"/>
                      <w:marBottom w:val="0"/>
                      <w:divBdr>
                        <w:top w:val="none" w:sz="0" w:space="0" w:color="auto"/>
                        <w:left w:val="none" w:sz="0" w:space="0" w:color="auto"/>
                        <w:bottom w:val="none" w:sz="0" w:space="0" w:color="auto"/>
                        <w:right w:val="none" w:sz="0" w:space="0" w:color="auto"/>
                      </w:divBdr>
                    </w:div>
                  </w:divsChild>
                </w:div>
                <w:div w:id="1318730208">
                  <w:marLeft w:val="0"/>
                  <w:marRight w:val="0"/>
                  <w:marTop w:val="0"/>
                  <w:marBottom w:val="0"/>
                  <w:divBdr>
                    <w:top w:val="none" w:sz="0" w:space="0" w:color="auto"/>
                    <w:left w:val="none" w:sz="0" w:space="0" w:color="auto"/>
                    <w:bottom w:val="none" w:sz="0" w:space="0" w:color="auto"/>
                    <w:right w:val="none" w:sz="0" w:space="0" w:color="auto"/>
                  </w:divBdr>
                  <w:divsChild>
                    <w:div w:id="968055396">
                      <w:marLeft w:val="0"/>
                      <w:marRight w:val="0"/>
                      <w:marTop w:val="0"/>
                      <w:marBottom w:val="0"/>
                      <w:divBdr>
                        <w:top w:val="none" w:sz="0" w:space="0" w:color="auto"/>
                        <w:left w:val="none" w:sz="0" w:space="0" w:color="auto"/>
                        <w:bottom w:val="none" w:sz="0" w:space="0" w:color="auto"/>
                        <w:right w:val="none" w:sz="0" w:space="0" w:color="auto"/>
                      </w:divBdr>
                      <w:divsChild>
                        <w:div w:id="950818106">
                          <w:marLeft w:val="0"/>
                          <w:marRight w:val="0"/>
                          <w:marTop w:val="0"/>
                          <w:marBottom w:val="0"/>
                          <w:divBdr>
                            <w:top w:val="none" w:sz="0" w:space="0" w:color="auto"/>
                            <w:left w:val="none" w:sz="0" w:space="0" w:color="auto"/>
                            <w:bottom w:val="none" w:sz="0" w:space="0" w:color="auto"/>
                            <w:right w:val="none" w:sz="0" w:space="0" w:color="auto"/>
                          </w:divBdr>
                        </w:div>
                        <w:div w:id="725614826">
                          <w:marLeft w:val="0"/>
                          <w:marRight w:val="0"/>
                          <w:marTop w:val="0"/>
                          <w:marBottom w:val="0"/>
                          <w:divBdr>
                            <w:top w:val="none" w:sz="0" w:space="0" w:color="auto"/>
                            <w:left w:val="none" w:sz="0" w:space="0" w:color="auto"/>
                            <w:bottom w:val="none" w:sz="0" w:space="0" w:color="auto"/>
                            <w:right w:val="none" w:sz="0" w:space="0" w:color="auto"/>
                          </w:divBdr>
                        </w:div>
                        <w:div w:id="399711734">
                          <w:marLeft w:val="0"/>
                          <w:marRight w:val="0"/>
                          <w:marTop w:val="0"/>
                          <w:marBottom w:val="0"/>
                          <w:divBdr>
                            <w:top w:val="none" w:sz="0" w:space="0" w:color="auto"/>
                            <w:left w:val="none" w:sz="0" w:space="0" w:color="auto"/>
                            <w:bottom w:val="none" w:sz="0" w:space="0" w:color="auto"/>
                            <w:right w:val="none" w:sz="0" w:space="0" w:color="auto"/>
                          </w:divBdr>
                        </w:div>
                        <w:div w:id="2076010168">
                          <w:marLeft w:val="0"/>
                          <w:marRight w:val="0"/>
                          <w:marTop w:val="0"/>
                          <w:marBottom w:val="0"/>
                          <w:divBdr>
                            <w:top w:val="none" w:sz="0" w:space="0" w:color="auto"/>
                            <w:left w:val="none" w:sz="0" w:space="0" w:color="auto"/>
                            <w:bottom w:val="none" w:sz="0" w:space="0" w:color="auto"/>
                            <w:right w:val="none" w:sz="0" w:space="0" w:color="auto"/>
                          </w:divBdr>
                        </w:div>
                      </w:divsChild>
                    </w:div>
                    <w:div w:id="1156188688">
                      <w:marLeft w:val="0"/>
                      <w:marRight w:val="0"/>
                      <w:marTop w:val="0"/>
                      <w:marBottom w:val="0"/>
                      <w:divBdr>
                        <w:top w:val="none" w:sz="0" w:space="0" w:color="auto"/>
                        <w:left w:val="none" w:sz="0" w:space="0" w:color="auto"/>
                        <w:bottom w:val="none" w:sz="0" w:space="0" w:color="auto"/>
                        <w:right w:val="none" w:sz="0" w:space="0" w:color="auto"/>
                      </w:divBdr>
                    </w:div>
                    <w:div w:id="607858358">
                      <w:marLeft w:val="0"/>
                      <w:marRight w:val="0"/>
                      <w:marTop w:val="0"/>
                      <w:marBottom w:val="0"/>
                      <w:divBdr>
                        <w:top w:val="none" w:sz="0" w:space="0" w:color="auto"/>
                        <w:left w:val="none" w:sz="0" w:space="0" w:color="auto"/>
                        <w:bottom w:val="none" w:sz="0" w:space="0" w:color="auto"/>
                        <w:right w:val="none" w:sz="0" w:space="0" w:color="auto"/>
                      </w:divBdr>
                    </w:div>
                    <w:div w:id="359547450">
                      <w:marLeft w:val="0"/>
                      <w:marRight w:val="0"/>
                      <w:marTop w:val="0"/>
                      <w:marBottom w:val="0"/>
                      <w:divBdr>
                        <w:top w:val="none" w:sz="0" w:space="0" w:color="auto"/>
                        <w:left w:val="none" w:sz="0" w:space="0" w:color="auto"/>
                        <w:bottom w:val="none" w:sz="0" w:space="0" w:color="auto"/>
                        <w:right w:val="none" w:sz="0" w:space="0" w:color="auto"/>
                      </w:divBdr>
                    </w:div>
                  </w:divsChild>
                </w:div>
                <w:div w:id="1536623257">
                  <w:marLeft w:val="0"/>
                  <w:marRight w:val="0"/>
                  <w:marTop w:val="0"/>
                  <w:marBottom w:val="0"/>
                  <w:divBdr>
                    <w:top w:val="none" w:sz="0" w:space="0" w:color="auto"/>
                    <w:left w:val="none" w:sz="0" w:space="0" w:color="auto"/>
                    <w:bottom w:val="none" w:sz="0" w:space="0" w:color="auto"/>
                    <w:right w:val="none" w:sz="0" w:space="0" w:color="auto"/>
                  </w:divBdr>
                </w:div>
                <w:div w:id="631593523">
                  <w:marLeft w:val="0"/>
                  <w:marRight w:val="0"/>
                  <w:marTop w:val="0"/>
                  <w:marBottom w:val="0"/>
                  <w:divBdr>
                    <w:top w:val="none" w:sz="0" w:space="0" w:color="auto"/>
                    <w:left w:val="none" w:sz="0" w:space="0" w:color="auto"/>
                    <w:bottom w:val="none" w:sz="0" w:space="0" w:color="auto"/>
                    <w:right w:val="none" w:sz="0" w:space="0" w:color="auto"/>
                  </w:divBdr>
                </w:div>
                <w:div w:id="1107694789">
                  <w:marLeft w:val="0"/>
                  <w:marRight w:val="0"/>
                  <w:marTop w:val="0"/>
                  <w:marBottom w:val="0"/>
                  <w:divBdr>
                    <w:top w:val="none" w:sz="0" w:space="0" w:color="auto"/>
                    <w:left w:val="none" w:sz="0" w:space="0" w:color="auto"/>
                    <w:bottom w:val="none" w:sz="0" w:space="0" w:color="auto"/>
                    <w:right w:val="none" w:sz="0" w:space="0" w:color="auto"/>
                  </w:divBdr>
                  <w:divsChild>
                    <w:div w:id="121585257">
                      <w:marLeft w:val="0"/>
                      <w:marRight w:val="0"/>
                      <w:marTop w:val="0"/>
                      <w:marBottom w:val="0"/>
                      <w:divBdr>
                        <w:top w:val="none" w:sz="0" w:space="0" w:color="auto"/>
                        <w:left w:val="none" w:sz="0" w:space="0" w:color="auto"/>
                        <w:bottom w:val="none" w:sz="0" w:space="0" w:color="auto"/>
                        <w:right w:val="none" w:sz="0" w:space="0" w:color="auto"/>
                      </w:divBdr>
                    </w:div>
                    <w:div w:id="1798989448">
                      <w:marLeft w:val="0"/>
                      <w:marRight w:val="0"/>
                      <w:marTop w:val="0"/>
                      <w:marBottom w:val="0"/>
                      <w:divBdr>
                        <w:top w:val="none" w:sz="0" w:space="0" w:color="auto"/>
                        <w:left w:val="none" w:sz="0" w:space="0" w:color="auto"/>
                        <w:bottom w:val="none" w:sz="0" w:space="0" w:color="auto"/>
                        <w:right w:val="none" w:sz="0" w:space="0" w:color="auto"/>
                      </w:divBdr>
                    </w:div>
                    <w:div w:id="522786522">
                      <w:marLeft w:val="0"/>
                      <w:marRight w:val="0"/>
                      <w:marTop w:val="0"/>
                      <w:marBottom w:val="0"/>
                      <w:divBdr>
                        <w:top w:val="none" w:sz="0" w:space="0" w:color="auto"/>
                        <w:left w:val="none" w:sz="0" w:space="0" w:color="auto"/>
                        <w:bottom w:val="none" w:sz="0" w:space="0" w:color="auto"/>
                        <w:right w:val="none" w:sz="0" w:space="0" w:color="auto"/>
                      </w:divBdr>
                    </w:div>
                  </w:divsChild>
                </w:div>
                <w:div w:id="8335385">
                  <w:marLeft w:val="0"/>
                  <w:marRight w:val="0"/>
                  <w:marTop w:val="0"/>
                  <w:marBottom w:val="0"/>
                  <w:divBdr>
                    <w:top w:val="none" w:sz="0" w:space="0" w:color="auto"/>
                    <w:left w:val="none" w:sz="0" w:space="0" w:color="auto"/>
                    <w:bottom w:val="none" w:sz="0" w:space="0" w:color="auto"/>
                    <w:right w:val="none" w:sz="0" w:space="0" w:color="auto"/>
                  </w:divBdr>
                  <w:divsChild>
                    <w:div w:id="1240939503">
                      <w:marLeft w:val="0"/>
                      <w:marRight w:val="0"/>
                      <w:marTop w:val="0"/>
                      <w:marBottom w:val="0"/>
                      <w:divBdr>
                        <w:top w:val="none" w:sz="0" w:space="0" w:color="auto"/>
                        <w:left w:val="none" w:sz="0" w:space="0" w:color="auto"/>
                        <w:bottom w:val="none" w:sz="0" w:space="0" w:color="auto"/>
                        <w:right w:val="none" w:sz="0" w:space="0" w:color="auto"/>
                      </w:divBdr>
                    </w:div>
                    <w:div w:id="1197886776">
                      <w:marLeft w:val="0"/>
                      <w:marRight w:val="0"/>
                      <w:marTop w:val="0"/>
                      <w:marBottom w:val="0"/>
                      <w:divBdr>
                        <w:top w:val="none" w:sz="0" w:space="0" w:color="auto"/>
                        <w:left w:val="none" w:sz="0" w:space="0" w:color="auto"/>
                        <w:bottom w:val="none" w:sz="0" w:space="0" w:color="auto"/>
                        <w:right w:val="none" w:sz="0" w:space="0" w:color="auto"/>
                      </w:divBdr>
                    </w:div>
                    <w:div w:id="78791882">
                      <w:marLeft w:val="0"/>
                      <w:marRight w:val="0"/>
                      <w:marTop w:val="0"/>
                      <w:marBottom w:val="0"/>
                      <w:divBdr>
                        <w:top w:val="none" w:sz="0" w:space="0" w:color="auto"/>
                        <w:left w:val="none" w:sz="0" w:space="0" w:color="auto"/>
                        <w:bottom w:val="none" w:sz="0" w:space="0" w:color="auto"/>
                        <w:right w:val="none" w:sz="0" w:space="0" w:color="auto"/>
                      </w:divBdr>
                    </w:div>
                    <w:div w:id="372001493">
                      <w:marLeft w:val="0"/>
                      <w:marRight w:val="0"/>
                      <w:marTop w:val="0"/>
                      <w:marBottom w:val="0"/>
                      <w:divBdr>
                        <w:top w:val="none" w:sz="0" w:space="0" w:color="auto"/>
                        <w:left w:val="none" w:sz="0" w:space="0" w:color="auto"/>
                        <w:bottom w:val="none" w:sz="0" w:space="0" w:color="auto"/>
                        <w:right w:val="none" w:sz="0" w:space="0" w:color="auto"/>
                      </w:divBdr>
                    </w:div>
                    <w:div w:id="1838420745">
                      <w:marLeft w:val="0"/>
                      <w:marRight w:val="0"/>
                      <w:marTop w:val="0"/>
                      <w:marBottom w:val="0"/>
                      <w:divBdr>
                        <w:top w:val="none" w:sz="0" w:space="0" w:color="auto"/>
                        <w:left w:val="none" w:sz="0" w:space="0" w:color="auto"/>
                        <w:bottom w:val="none" w:sz="0" w:space="0" w:color="auto"/>
                        <w:right w:val="none" w:sz="0" w:space="0" w:color="auto"/>
                      </w:divBdr>
                    </w:div>
                    <w:div w:id="1555655621">
                      <w:marLeft w:val="0"/>
                      <w:marRight w:val="0"/>
                      <w:marTop w:val="0"/>
                      <w:marBottom w:val="0"/>
                      <w:divBdr>
                        <w:top w:val="none" w:sz="0" w:space="0" w:color="auto"/>
                        <w:left w:val="none" w:sz="0" w:space="0" w:color="auto"/>
                        <w:bottom w:val="none" w:sz="0" w:space="0" w:color="auto"/>
                        <w:right w:val="none" w:sz="0" w:space="0" w:color="auto"/>
                      </w:divBdr>
                    </w:div>
                  </w:divsChild>
                </w:div>
                <w:div w:id="7951355">
                  <w:marLeft w:val="0"/>
                  <w:marRight w:val="0"/>
                  <w:marTop w:val="0"/>
                  <w:marBottom w:val="0"/>
                  <w:divBdr>
                    <w:top w:val="none" w:sz="0" w:space="0" w:color="auto"/>
                    <w:left w:val="none" w:sz="0" w:space="0" w:color="auto"/>
                    <w:bottom w:val="none" w:sz="0" w:space="0" w:color="auto"/>
                    <w:right w:val="none" w:sz="0" w:space="0" w:color="auto"/>
                  </w:divBdr>
                  <w:divsChild>
                    <w:div w:id="879122548">
                      <w:marLeft w:val="0"/>
                      <w:marRight w:val="0"/>
                      <w:marTop w:val="0"/>
                      <w:marBottom w:val="0"/>
                      <w:divBdr>
                        <w:top w:val="none" w:sz="0" w:space="0" w:color="auto"/>
                        <w:left w:val="none" w:sz="0" w:space="0" w:color="auto"/>
                        <w:bottom w:val="none" w:sz="0" w:space="0" w:color="auto"/>
                        <w:right w:val="none" w:sz="0" w:space="0" w:color="auto"/>
                      </w:divBdr>
                    </w:div>
                    <w:div w:id="853111152">
                      <w:marLeft w:val="0"/>
                      <w:marRight w:val="0"/>
                      <w:marTop w:val="0"/>
                      <w:marBottom w:val="0"/>
                      <w:divBdr>
                        <w:top w:val="none" w:sz="0" w:space="0" w:color="auto"/>
                        <w:left w:val="none" w:sz="0" w:space="0" w:color="auto"/>
                        <w:bottom w:val="none" w:sz="0" w:space="0" w:color="auto"/>
                        <w:right w:val="none" w:sz="0" w:space="0" w:color="auto"/>
                      </w:divBdr>
                      <w:divsChild>
                        <w:div w:id="2117478353">
                          <w:marLeft w:val="0"/>
                          <w:marRight w:val="0"/>
                          <w:marTop w:val="0"/>
                          <w:marBottom w:val="0"/>
                          <w:divBdr>
                            <w:top w:val="none" w:sz="0" w:space="0" w:color="auto"/>
                            <w:left w:val="none" w:sz="0" w:space="0" w:color="auto"/>
                            <w:bottom w:val="none" w:sz="0" w:space="0" w:color="auto"/>
                            <w:right w:val="none" w:sz="0" w:space="0" w:color="auto"/>
                          </w:divBdr>
                        </w:div>
                        <w:div w:id="309478157">
                          <w:marLeft w:val="0"/>
                          <w:marRight w:val="0"/>
                          <w:marTop w:val="0"/>
                          <w:marBottom w:val="0"/>
                          <w:divBdr>
                            <w:top w:val="none" w:sz="0" w:space="0" w:color="auto"/>
                            <w:left w:val="none" w:sz="0" w:space="0" w:color="auto"/>
                            <w:bottom w:val="none" w:sz="0" w:space="0" w:color="auto"/>
                            <w:right w:val="none" w:sz="0" w:space="0" w:color="auto"/>
                          </w:divBdr>
                        </w:div>
                        <w:div w:id="1842501189">
                          <w:marLeft w:val="0"/>
                          <w:marRight w:val="0"/>
                          <w:marTop w:val="0"/>
                          <w:marBottom w:val="0"/>
                          <w:divBdr>
                            <w:top w:val="none" w:sz="0" w:space="0" w:color="auto"/>
                            <w:left w:val="none" w:sz="0" w:space="0" w:color="auto"/>
                            <w:bottom w:val="none" w:sz="0" w:space="0" w:color="auto"/>
                            <w:right w:val="none" w:sz="0" w:space="0" w:color="auto"/>
                          </w:divBdr>
                        </w:div>
                      </w:divsChild>
                    </w:div>
                    <w:div w:id="298999764">
                      <w:marLeft w:val="0"/>
                      <w:marRight w:val="0"/>
                      <w:marTop w:val="0"/>
                      <w:marBottom w:val="0"/>
                      <w:divBdr>
                        <w:top w:val="none" w:sz="0" w:space="0" w:color="auto"/>
                        <w:left w:val="none" w:sz="0" w:space="0" w:color="auto"/>
                        <w:bottom w:val="none" w:sz="0" w:space="0" w:color="auto"/>
                        <w:right w:val="none" w:sz="0" w:space="0" w:color="auto"/>
                      </w:divBdr>
                    </w:div>
                    <w:div w:id="1126046301">
                      <w:marLeft w:val="0"/>
                      <w:marRight w:val="0"/>
                      <w:marTop w:val="0"/>
                      <w:marBottom w:val="0"/>
                      <w:divBdr>
                        <w:top w:val="none" w:sz="0" w:space="0" w:color="auto"/>
                        <w:left w:val="none" w:sz="0" w:space="0" w:color="auto"/>
                        <w:bottom w:val="none" w:sz="0" w:space="0" w:color="auto"/>
                        <w:right w:val="none" w:sz="0" w:space="0" w:color="auto"/>
                      </w:divBdr>
                      <w:divsChild>
                        <w:div w:id="1656953132">
                          <w:marLeft w:val="0"/>
                          <w:marRight w:val="0"/>
                          <w:marTop w:val="0"/>
                          <w:marBottom w:val="0"/>
                          <w:divBdr>
                            <w:top w:val="none" w:sz="0" w:space="0" w:color="auto"/>
                            <w:left w:val="none" w:sz="0" w:space="0" w:color="auto"/>
                            <w:bottom w:val="none" w:sz="0" w:space="0" w:color="auto"/>
                            <w:right w:val="none" w:sz="0" w:space="0" w:color="auto"/>
                          </w:divBdr>
                        </w:div>
                        <w:div w:id="529536754">
                          <w:marLeft w:val="0"/>
                          <w:marRight w:val="0"/>
                          <w:marTop w:val="0"/>
                          <w:marBottom w:val="0"/>
                          <w:divBdr>
                            <w:top w:val="none" w:sz="0" w:space="0" w:color="auto"/>
                            <w:left w:val="none" w:sz="0" w:space="0" w:color="auto"/>
                            <w:bottom w:val="none" w:sz="0" w:space="0" w:color="auto"/>
                            <w:right w:val="none" w:sz="0" w:space="0" w:color="auto"/>
                          </w:divBdr>
                          <w:divsChild>
                            <w:div w:id="995064310">
                              <w:marLeft w:val="0"/>
                              <w:marRight w:val="0"/>
                              <w:marTop w:val="0"/>
                              <w:marBottom w:val="0"/>
                              <w:divBdr>
                                <w:top w:val="none" w:sz="0" w:space="0" w:color="auto"/>
                                <w:left w:val="none" w:sz="0" w:space="0" w:color="auto"/>
                                <w:bottom w:val="none" w:sz="0" w:space="0" w:color="auto"/>
                                <w:right w:val="none" w:sz="0" w:space="0" w:color="auto"/>
                              </w:divBdr>
                            </w:div>
                            <w:div w:id="265043107">
                              <w:marLeft w:val="0"/>
                              <w:marRight w:val="0"/>
                              <w:marTop w:val="0"/>
                              <w:marBottom w:val="0"/>
                              <w:divBdr>
                                <w:top w:val="none" w:sz="0" w:space="0" w:color="auto"/>
                                <w:left w:val="none" w:sz="0" w:space="0" w:color="auto"/>
                                <w:bottom w:val="none" w:sz="0" w:space="0" w:color="auto"/>
                                <w:right w:val="none" w:sz="0" w:space="0" w:color="auto"/>
                              </w:divBdr>
                            </w:div>
                            <w:div w:id="1234773030">
                              <w:marLeft w:val="0"/>
                              <w:marRight w:val="0"/>
                              <w:marTop w:val="0"/>
                              <w:marBottom w:val="0"/>
                              <w:divBdr>
                                <w:top w:val="none" w:sz="0" w:space="0" w:color="auto"/>
                                <w:left w:val="none" w:sz="0" w:space="0" w:color="auto"/>
                                <w:bottom w:val="none" w:sz="0" w:space="0" w:color="auto"/>
                                <w:right w:val="none" w:sz="0" w:space="0" w:color="auto"/>
                              </w:divBdr>
                            </w:div>
                            <w:div w:id="157222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18472">
                      <w:marLeft w:val="0"/>
                      <w:marRight w:val="0"/>
                      <w:marTop w:val="0"/>
                      <w:marBottom w:val="0"/>
                      <w:divBdr>
                        <w:top w:val="none" w:sz="0" w:space="0" w:color="auto"/>
                        <w:left w:val="none" w:sz="0" w:space="0" w:color="auto"/>
                        <w:bottom w:val="none" w:sz="0" w:space="0" w:color="auto"/>
                        <w:right w:val="none" w:sz="0" w:space="0" w:color="auto"/>
                      </w:divBdr>
                    </w:div>
                  </w:divsChild>
                </w:div>
                <w:div w:id="1783453791">
                  <w:marLeft w:val="0"/>
                  <w:marRight w:val="0"/>
                  <w:marTop w:val="0"/>
                  <w:marBottom w:val="0"/>
                  <w:divBdr>
                    <w:top w:val="none" w:sz="0" w:space="0" w:color="auto"/>
                    <w:left w:val="none" w:sz="0" w:space="0" w:color="auto"/>
                    <w:bottom w:val="none" w:sz="0" w:space="0" w:color="auto"/>
                    <w:right w:val="none" w:sz="0" w:space="0" w:color="auto"/>
                  </w:divBdr>
                </w:div>
                <w:div w:id="137835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state.fl.us/STATUTES/index.cfm?App_mode=Display_Statute&amp;Search_String=&amp;URL=0200-0299/0255/Sections/0255.05.html" TargetMode="External"/><Relationship Id="rId13" Type="http://schemas.openxmlformats.org/officeDocument/2006/relationships/hyperlink" Target="http://www.leg.state.fl.us/STATUTES/index.cfm?App_mode=Display_Statute&amp;Search_String=&amp;URL=0100-0199/0119/Sections/0119.07.html" TargetMode="External"/><Relationship Id="rId18" Type="http://schemas.openxmlformats.org/officeDocument/2006/relationships/hyperlink" Target="http://www.leg.state.fl.us/cgi-bin/View_Page.pl?File=privacy.html&amp;Directory=welcome/&amp;Location=app&amp;Tab=info_center&amp;Submenu=4" TargetMode="External"/><Relationship Id="rId26" Type="http://schemas.openxmlformats.org/officeDocument/2006/relationships/hyperlink" Target="http://www.leg.state.fl.us/STATUTES/index.cfm?App_mode=Display_Statute&amp;Search_String=&amp;URL=0400-0499/0481/Sections/0481.319.html" TargetMode="External"/><Relationship Id="rId39" Type="http://schemas.openxmlformats.org/officeDocument/2006/relationships/hyperlink" Target="http://www.leg.state.fl.us/STATUTES/index.cfm?App_mode=Display_Statute&amp;Search_String=&amp;URL=0300-0399/0337/Sections/0337.11.html" TargetMode="External"/><Relationship Id="rId3" Type="http://schemas.openxmlformats.org/officeDocument/2006/relationships/settings" Target="settings.xml"/><Relationship Id="rId21" Type="http://schemas.openxmlformats.org/officeDocument/2006/relationships/hyperlink" Target="http://www.leg.state.fl.us/STATUTES/index.cfm?App_mode=Display_Statute&amp;Search_String=&amp;URL=0100-0199/0163/Sections/0163.3220.html" TargetMode="External"/><Relationship Id="rId34" Type="http://schemas.openxmlformats.org/officeDocument/2006/relationships/hyperlink" Target="http://www.leg.state.fl.us/STATUTES/index.cfm?App_mode=Display_Statute&amp;Search_String=&amp;URL=0700-0799/0775/Sections/0775.083.html" TargetMode="External"/><Relationship Id="rId42" Type="http://schemas.openxmlformats.org/officeDocument/2006/relationships/hyperlink" Target="http://www.leg.state.fl.us/STATUTES/index.cfm?App_mode=Display_Statute&amp;Search_String=&amp;URL=1000-1099/1013/Sections/1013.45.html" TargetMode="External"/><Relationship Id="rId47" Type="http://schemas.openxmlformats.org/officeDocument/2006/relationships/fontTable" Target="fontTable.xml"/><Relationship Id="rId7" Type="http://schemas.openxmlformats.org/officeDocument/2006/relationships/hyperlink" Target="http://www.leg.state.fl.us/STATUTES/index.cfm?App_mode=Display_Statute&amp;Search_String=&amp;URL=0200-0299/0255/Sections/0255.05.html" TargetMode="External"/><Relationship Id="rId12" Type="http://schemas.openxmlformats.org/officeDocument/2006/relationships/hyperlink" Target="http://www.leg.state.fl.us/STATUTES/index.cfm?App_mode=Display_Statute&amp;Search_String=&amp;URL=0100-0199/0119/Sections/0119.071.html" TargetMode="External"/><Relationship Id="rId17" Type="http://schemas.openxmlformats.org/officeDocument/2006/relationships/hyperlink" Target="http://www.leg.state.fl.us/STATUTES/index.cfm?App_mode=Display_Statute&amp;Search_String=&amp;URL=0100-0199/0119/Sections/0119.15.html" TargetMode="External"/><Relationship Id="rId25" Type="http://schemas.openxmlformats.org/officeDocument/2006/relationships/hyperlink" Target="http://www.leg.state.fl.us/STATUTES/index.cfm?App_mode=Display_Statute&amp;Search_String=&amp;URL=0400-0499/0481/Sections/0481.219.html" TargetMode="External"/><Relationship Id="rId33" Type="http://schemas.openxmlformats.org/officeDocument/2006/relationships/hyperlink" Target="http://www.leg.state.fl.us/STATUTES/index.cfm?App_mode=Display_Statute&amp;Search_String=&amp;URL=0700-0799/0775/Sections/0775.082.html" TargetMode="External"/><Relationship Id="rId38" Type="http://schemas.openxmlformats.org/officeDocument/2006/relationships/hyperlink" Target="http://www.leg.state.fl.us/STATUTES/index.cfm?App_mode=Display_Statute&amp;Search_String=&amp;URL=0700-0799/0775/Sections/0775.083.html" TargetMode="External"/><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leg.state.fl.us/STATUTES/index.cfm?App_mode=Display_Statute&amp;Search_String=&amp;URL=0100-0199/0119/Sections/0119.07.html" TargetMode="External"/><Relationship Id="rId20" Type="http://schemas.openxmlformats.org/officeDocument/2006/relationships/hyperlink" Target="http://www.leg.state.fl.us/STATUTES/index.cfm?App_mode=Display_Statute&amp;Search_String=&amp;URL=0300-0399/0380/Sections/0380.06.html" TargetMode="External"/><Relationship Id="rId29" Type="http://schemas.openxmlformats.org/officeDocument/2006/relationships/hyperlink" Target="http://www.leg.state.fl.us/STATUTES/index.cfm?App_mode=Display_Statute&amp;Search_String=&amp;URL=0200-0299/0287/Sections/0287.09451.html" TargetMode="External"/><Relationship Id="rId41" Type="http://schemas.openxmlformats.org/officeDocument/2006/relationships/hyperlink" Target="http://www.leg.state.fl.us/STATUTES/index.cfm?App_mode=Display_Statute&amp;Search_String=&amp;URL=1000-1099/1013/Sections/1013.01.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g.state.fl.us/STATUTES/index.cfm?App_mode=Display_Statute&amp;Search_String=&amp;URL=0200-0299/0287/Sections/0287.055.html" TargetMode="External"/><Relationship Id="rId24" Type="http://schemas.openxmlformats.org/officeDocument/2006/relationships/hyperlink" Target="http://www.leg.state.fl.us/STATUTES/index.cfm?App_mode=Display_Statute&amp;Search_String=&amp;URL=0400-0499/0471/Sections/0471.023.html" TargetMode="External"/><Relationship Id="rId32" Type="http://schemas.openxmlformats.org/officeDocument/2006/relationships/hyperlink" Target="http://www.leg.state.fl.us/STATUTES/index.cfm?App_mode=Display_Statute&amp;Search_String=&amp;URL=0200-0299/0287/Sections/0287.017.html" TargetMode="External"/><Relationship Id="rId37" Type="http://schemas.openxmlformats.org/officeDocument/2006/relationships/hyperlink" Target="http://www.leg.state.fl.us/STATUTES/index.cfm?App_mode=Display_Statute&amp;Search_String=&amp;URL=0700-0799/0775/Sections/0775.082.html" TargetMode="External"/><Relationship Id="rId40" Type="http://schemas.openxmlformats.org/officeDocument/2006/relationships/hyperlink" Target="http://www.leg.state.fl.us/STATUTES/index.cfm?App_mode=Display_Statute&amp;Search_String=&amp;URL=1000-1099/1013/Sections/1013.01.html" TargetMode="External"/><Relationship Id="rId45" Type="http://schemas.openxmlformats.org/officeDocument/2006/relationships/hyperlink" Target="http://www.leg.state.fl.us/cgi-bin/View_Page.pl?File=contact.html&amp;Directory=Info_Center/help/&amp;Location=app&amp;Tab=info_center&amp;Submenu=4" TargetMode="External"/><Relationship Id="rId5" Type="http://schemas.openxmlformats.org/officeDocument/2006/relationships/footnotes" Target="footnotes.xml"/><Relationship Id="rId15" Type="http://schemas.openxmlformats.org/officeDocument/2006/relationships/hyperlink" Target="http://www.leg.state.fl.us/STATUTES/index.cfm?App_mode=Display_Statute&amp;Search_String=&amp;URL=0100-0199/0119/Sections/0119.07.html" TargetMode="External"/><Relationship Id="rId23" Type="http://schemas.openxmlformats.org/officeDocument/2006/relationships/hyperlink" Target="http://www.leg.state.fl.us/STATUTES/index.cfm?App_mode=Display_Statute&amp;Search_String=&amp;URL=0400-0499/0489/Sections/0489.119.html" TargetMode="External"/><Relationship Id="rId28" Type="http://schemas.openxmlformats.org/officeDocument/2006/relationships/hyperlink" Target="http://www.leg.state.fl.us/STATUTES/index.cfm?App_mode=Display_Statute&amp;Search_String=&amp;URL=0200-0299/0287/Sections/0287.017.html" TargetMode="External"/><Relationship Id="rId36" Type="http://schemas.openxmlformats.org/officeDocument/2006/relationships/hyperlink" Target="http://www.leg.state.fl.us/STATUTES/index.cfm?App_mode=Display_Statute&amp;Search_String=&amp;URL=0700-0799/0775/Sections/0775.083.html" TargetMode="External"/><Relationship Id="rId10" Type="http://schemas.openxmlformats.org/officeDocument/2006/relationships/hyperlink" Target="http://www.leg.state.fl.us/STATUTES/index.cfm?App_mode=Display_Statute&amp;Search_String=&amp;URL=0000-0099/0011/Sections/0011.066.html" TargetMode="External"/><Relationship Id="rId19" Type="http://schemas.openxmlformats.org/officeDocument/2006/relationships/hyperlink" Target="http://www.leg.state.fl.us/cgi-bin/View_Page.pl?File=contact.html&amp;Directory=Info_Center/help/&amp;Location=app&amp;Tab=info_center&amp;Submenu=4" TargetMode="External"/><Relationship Id="rId31" Type="http://schemas.openxmlformats.org/officeDocument/2006/relationships/hyperlink" Target="http://www.leg.state.fl.us/STATUTES/index.cfm?App_mode=Display_Statute&amp;Search_String=&amp;URL=0200-0299/0287/Sections/0287.017.html" TargetMode="External"/><Relationship Id="rId44" Type="http://schemas.openxmlformats.org/officeDocument/2006/relationships/hyperlink" Target="http://www.leg.state.fl.us/cgi-bin/View_Page.pl?File=privacy.html&amp;Directory=welcome/&amp;Location=app&amp;Tab=info_center&amp;Submenu=4" TargetMode="External"/><Relationship Id="rId4" Type="http://schemas.openxmlformats.org/officeDocument/2006/relationships/webSettings" Target="webSettings.xml"/><Relationship Id="rId9" Type="http://schemas.openxmlformats.org/officeDocument/2006/relationships/hyperlink" Target="http://www.leg.state.fl.us/STATUTES/index.cfm?App_mode=Display_Statute&amp;Search_String=&amp;URL=0400-0499/0489/Sections/0489.145.html" TargetMode="External"/><Relationship Id="rId14" Type="http://schemas.openxmlformats.org/officeDocument/2006/relationships/hyperlink" Target="http://www.leg.state.fl.us/STATUTES/index.cfm?App_mode=Display_Statute&amp;Search_String=&amp;URL=0200-0299/0286/Sections/0286.011.html" TargetMode="External"/><Relationship Id="rId22" Type="http://schemas.openxmlformats.org/officeDocument/2006/relationships/hyperlink" Target="http://www.leg.state.fl.us/STATUTES/index.cfm?App_mode=Display_Statute&amp;Search_String=&amp;URL=0100-0199/0163/Sections/0163.3243.html" TargetMode="External"/><Relationship Id="rId27" Type="http://schemas.openxmlformats.org/officeDocument/2006/relationships/hyperlink" Target="http://www.leg.state.fl.us/STATUTES/index.cfm?App_mode=Display_Statute&amp;Search_String=&amp;URL=0200-0299/0287/Sections/0287.017.html" TargetMode="External"/><Relationship Id="rId30" Type="http://schemas.openxmlformats.org/officeDocument/2006/relationships/hyperlink" Target="http://www.leg.state.fl.us/STATUTES/index.cfm?App_mode=Display_Statute&amp;Search_String=&amp;URL=0200-0299/0287/Sections/0287.017.html" TargetMode="External"/><Relationship Id="rId35" Type="http://schemas.openxmlformats.org/officeDocument/2006/relationships/hyperlink" Target="http://www.leg.state.fl.us/STATUTES/index.cfm?App_mode=Display_Statute&amp;Search_String=&amp;URL=0700-0799/0775/Sections/0775.082.html" TargetMode="External"/><Relationship Id="rId43" Type="http://schemas.openxmlformats.org/officeDocument/2006/relationships/hyperlink" Target="http://www.leg.state.fl.us/STATUTES/index.cfm?App_mode=Display_Statute&amp;Search_String=&amp;URL=1000-1099/1013/Sections/1013.46.html"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18</Pages>
  <Words>9612</Words>
  <Characters>54794</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1</cp:revision>
  <dcterms:created xsi:type="dcterms:W3CDTF">2019-05-08T01:13:00Z</dcterms:created>
  <dcterms:modified xsi:type="dcterms:W3CDTF">2019-05-08T02:11:00Z</dcterms:modified>
</cp:coreProperties>
</file>