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836362" w14:textId="2B6F8C66" w:rsidR="001D7E1E" w:rsidRDefault="001D7E1E"/>
    <w:p w14:paraId="716A01AA" w14:textId="0ACEC415" w:rsidR="00306F78" w:rsidRDefault="00306F78"/>
    <w:p w14:paraId="39450DB4" w14:textId="16E11CC0" w:rsidR="00306F78" w:rsidRDefault="00306F78">
      <w:r>
        <w:rPr>
          <w:b/>
          <w:u w:val="single"/>
        </w:rPr>
        <w:t>PUBLIC FINANCE</w:t>
      </w:r>
    </w:p>
    <w:p w14:paraId="5518ABF8" w14:textId="483CA1DD" w:rsidR="00306F78" w:rsidRPr="00306F78" w:rsidRDefault="00306F78">
      <w:pPr>
        <w:rPr>
          <w:u w:val="single"/>
        </w:rPr>
      </w:pPr>
      <w:r w:rsidRPr="00306F78">
        <w:rPr>
          <w:u w:val="single"/>
        </w:rPr>
        <w:t>General obligation bonds:</w:t>
      </w:r>
    </w:p>
    <w:p w14:paraId="2FBDA82A" w14:textId="77777777" w:rsidR="00306F78" w:rsidRPr="00306F78" w:rsidRDefault="00306F78" w:rsidP="00306F78">
      <w:pPr>
        <w:spacing w:after="0" w:line="240" w:lineRule="auto"/>
        <w:rPr>
          <w:rFonts w:ascii="Times New Roman" w:eastAsia="Times New Roman" w:hAnsi="Times New Roman" w:cs="Times New Roman"/>
          <w:sz w:val="24"/>
          <w:szCs w:val="24"/>
        </w:rPr>
      </w:pPr>
      <w:bookmarkStart w:id="0" w:name="A7S12"/>
      <w:r w:rsidRPr="00306F78">
        <w:rPr>
          <w:rFonts w:ascii="Times New Roman" w:eastAsia="Times New Roman" w:hAnsi="Times New Roman" w:cs="Times New Roman"/>
          <w:sz w:val="24"/>
          <w:szCs w:val="24"/>
        </w:rPr>
        <w:t>SECTION 12.</w:t>
      </w:r>
      <w:bookmarkEnd w:id="0"/>
      <w:r w:rsidRPr="00306F78">
        <w:rPr>
          <w:rFonts w:ascii="Times New Roman" w:eastAsia="Times New Roman" w:hAnsi="Times New Roman" w:cs="Times New Roman"/>
          <w:sz w:val="24"/>
          <w:szCs w:val="24"/>
        </w:rPr>
        <w:t> </w:t>
      </w:r>
      <w:r w:rsidRPr="00306F78">
        <w:rPr>
          <w:rFonts w:ascii="Times New Roman" w:eastAsia="Times New Roman" w:hAnsi="Times New Roman" w:cs="Times New Roman"/>
          <w:sz w:val="24"/>
          <w:szCs w:val="24"/>
        </w:rPr>
        <w:t xml:space="preserve">Local </w:t>
      </w:r>
      <w:proofErr w:type="gramStart"/>
      <w:r w:rsidRPr="00306F78">
        <w:rPr>
          <w:rFonts w:ascii="Times New Roman" w:eastAsia="Times New Roman" w:hAnsi="Times New Roman" w:cs="Times New Roman"/>
          <w:sz w:val="24"/>
          <w:szCs w:val="24"/>
        </w:rPr>
        <w:t>bonds.—</w:t>
      </w:r>
      <w:proofErr w:type="gramEnd"/>
      <w:r w:rsidRPr="00306F78">
        <w:rPr>
          <w:rFonts w:ascii="Times New Roman" w:eastAsia="Times New Roman" w:hAnsi="Times New Roman" w:cs="Times New Roman"/>
          <w:sz w:val="24"/>
          <w:szCs w:val="24"/>
        </w:rPr>
        <w:t xml:space="preserve">Counties, school districts, municipalities, special districts and local governmental bodies with taxing powers may issue bonds, certificates of indebtedness or any form of tax anticipation certificates, payable from ad valorem taxation and maturing </w:t>
      </w:r>
      <w:r w:rsidRPr="00306F78">
        <w:rPr>
          <w:rFonts w:ascii="Times New Roman" w:eastAsia="Times New Roman" w:hAnsi="Times New Roman" w:cs="Times New Roman"/>
          <w:sz w:val="24"/>
          <w:szCs w:val="24"/>
          <w:highlight w:val="yellow"/>
        </w:rPr>
        <w:t>more than twelve months after issuance</w:t>
      </w:r>
      <w:r w:rsidRPr="00306F78">
        <w:rPr>
          <w:rFonts w:ascii="Times New Roman" w:eastAsia="Times New Roman" w:hAnsi="Times New Roman" w:cs="Times New Roman"/>
          <w:sz w:val="24"/>
          <w:szCs w:val="24"/>
        </w:rPr>
        <w:t xml:space="preserve"> only:</w:t>
      </w:r>
    </w:p>
    <w:p w14:paraId="19E91905" w14:textId="77777777" w:rsidR="00306F78" w:rsidRPr="00306F78" w:rsidRDefault="00306F78" w:rsidP="00306F78">
      <w:pPr>
        <w:spacing w:after="0" w:line="240" w:lineRule="auto"/>
        <w:rPr>
          <w:rFonts w:ascii="Times New Roman" w:eastAsia="Times New Roman" w:hAnsi="Times New Roman" w:cs="Times New Roman"/>
          <w:sz w:val="24"/>
          <w:szCs w:val="24"/>
        </w:rPr>
      </w:pPr>
      <w:r w:rsidRPr="00306F78">
        <w:rPr>
          <w:rFonts w:ascii="Times New Roman" w:eastAsia="Times New Roman" w:hAnsi="Times New Roman" w:cs="Times New Roman"/>
          <w:sz w:val="24"/>
          <w:szCs w:val="24"/>
        </w:rPr>
        <w:t>(a)</w:t>
      </w:r>
      <w:r w:rsidRPr="00306F78">
        <w:rPr>
          <w:rFonts w:ascii="Times New Roman" w:eastAsia="Times New Roman" w:hAnsi="Times New Roman" w:cs="Times New Roman"/>
          <w:sz w:val="24"/>
          <w:szCs w:val="24"/>
        </w:rPr>
        <w:t> </w:t>
      </w:r>
      <w:r w:rsidRPr="00306F78">
        <w:rPr>
          <w:rFonts w:ascii="Times New Roman" w:eastAsia="Times New Roman" w:hAnsi="Times New Roman" w:cs="Times New Roman"/>
          <w:sz w:val="24"/>
          <w:szCs w:val="24"/>
          <w:u w:val="single"/>
        </w:rPr>
        <w:t>to finance or refinance</w:t>
      </w:r>
      <w:r w:rsidRPr="00306F78">
        <w:rPr>
          <w:rFonts w:ascii="Times New Roman" w:eastAsia="Times New Roman" w:hAnsi="Times New Roman" w:cs="Times New Roman"/>
          <w:sz w:val="24"/>
          <w:szCs w:val="24"/>
        </w:rPr>
        <w:t xml:space="preserve"> </w:t>
      </w:r>
      <w:r w:rsidRPr="00306F78">
        <w:rPr>
          <w:rFonts w:ascii="Times New Roman" w:eastAsia="Times New Roman" w:hAnsi="Times New Roman" w:cs="Times New Roman"/>
          <w:sz w:val="24"/>
          <w:szCs w:val="24"/>
          <w:highlight w:val="yellow"/>
        </w:rPr>
        <w:t>capital projects</w:t>
      </w:r>
      <w:r w:rsidRPr="00306F78">
        <w:rPr>
          <w:rFonts w:ascii="Times New Roman" w:eastAsia="Times New Roman" w:hAnsi="Times New Roman" w:cs="Times New Roman"/>
          <w:sz w:val="24"/>
          <w:szCs w:val="24"/>
        </w:rPr>
        <w:t xml:space="preserve"> authorized by law and </w:t>
      </w:r>
      <w:r w:rsidRPr="00306F78">
        <w:rPr>
          <w:rFonts w:ascii="Times New Roman" w:eastAsia="Times New Roman" w:hAnsi="Times New Roman" w:cs="Times New Roman"/>
          <w:sz w:val="24"/>
          <w:szCs w:val="24"/>
          <w:u w:val="single"/>
        </w:rPr>
        <w:t>only when approved by vote of the electors</w:t>
      </w:r>
      <w:r w:rsidRPr="00306F78">
        <w:rPr>
          <w:rFonts w:ascii="Times New Roman" w:eastAsia="Times New Roman" w:hAnsi="Times New Roman" w:cs="Times New Roman"/>
          <w:sz w:val="24"/>
          <w:szCs w:val="24"/>
        </w:rPr>
        <w:t xml:space="preserve"> who are owners of freeholds therein not wholly exempt from taxation; or</w:t>
      </w:r>
    </w:p>
    <w:p w14:paraId="1E718C6A" w14:textId="5FFE7BE4" w:rsidR="00306F78" w:rsidRDefault="00306F78" w:rsidP="00306F78">
      <w:pPr>
        <w:spacing w:after="0" w:line="240" w:lineRule="auto"/>
        <w:rPr>
          <w:rFonts w:ascii="Times New Roman" w:eastAsia="Times New Roman" w:hAnsi="Times New Roman" w:cs="Times New Roman"/>
          <w:sz w:val="24"/>
          <w:szCs w:val="24"/>
        </w:rPr>
      </w:pPr>
      <w:r w:rsidRPr="00306F78">
        <w:rPr>
          <w:rFonts w:ascii="Times New Roman" w:eastAsia="Times New Roman" w:hAnsi="Times New Roman" w:cs="Times New Roman"/>
          <w:sz w:val="24"/>
          <w:szCs w:val="24"/>
        </w:rPr>
        <w:t>(b)</w:t>
      </w:r>
      <w:r w:rsidRPr="00306F78">
        <w:rPr>
          <w:rFonts w:ascii="Times New Roman" w:eastAsia="Times New Roman" w:hAnsi="Times New Roman" w:cs="Times New Roman"/>
          <w:sz w:val="24"/>
          <w:szCs w:val="24"/>
        </w:rPr>
        <w:t> </w:t>
      </w:r>
      <w:r w:rsidRPr="00306F78">
        <w:rPr>
          <w:rFonts w:ascii="Times New Roman" w:eastAsia="Times New Roman" w:hAnsi="Times New Roman" w:cs="Times New Roman"/>
          <w:sz w:val="24"/>
          <w:szCs w:val="24"/>
        </w:rPr>
        <w:t>to refund outstanding bonds and interest and redemption premium thereon at a lower net average interest cost rate.</w:t>
      </w:r>
    </w:p>
    <w:p w14:paraId="40E3D0D1" w14:textId="7ECEA67B" w:rsidR="001D2028" w:rsidRDefault="001D2028" w:rsidP="00306F78">
      <w:pPr>
        <w:spacing w:after="0" w:line="240" w:lineRule="auto"/>
        <w:rPr>
          <w:rFonts w:ascii="Times New Roman" w:eastAsia="Times New Roman" w:hAnsi="Times New Roman" w:cs="Times New Roman"/>
          <w:sz w:val="24"/>
          <w:szCs w:val="24"/>
        </w:rPr>
      </w:pPr>
    </w:p>
    <w:p w14:paraId="58D5C49A" w14:textId="4F177016" w:rsidR="001D2028" w:rsidRDefault="001D2028" w:rsidP="001D2028">
      <w:pPr>
        <w:pStyle w:val="ListParagraph"/>
        <w:numPr>
          <w:ilvl w:val="0"/>
          <w:numId w:val="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Less than 12 months examples:</w:t>
      </w:r>
    </w:p>
    <w:p w14:paraId="1F1F06DD" w14:textId="2DEBD5A1" w:rsidR="001D2028" w:rsidRDefault="001D2028" w:rsidP="001D2028">
      <w:pPr>
        <w:pStyle w:val="ListParagraph"/>
        <w:numPr>
          <w:ilvl w:val="1"/>
          <w:numId w:val="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Tax anticipation notes (school districts)</w:t>
      </w:r>
    </w:p>
    <w:p w14:paraId="4B6F4F1D" w14:textId="5133E1E5" w:rsidR="001D2028" w:rsidRDefault="001D2028" w:rsidP="001D2028">
      <w:pPr>
        <w:pStyle w:val="ListParagraph"/>
        <w:numPr>
          <w:ilvl w:val="1"/>
          <w:numId w:val="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Commercial bank loans and lines of credit</w:t>
      </w:r>
    </w:p>
    <w:p w14:paraId="4E6E003B" w14:textId="0E25C131" w:rsidR="001D2028" w:rsidRDefault="001D2028" w:rsidP="001D2028">
      <w:pPr>
        <w:pStyle w:val="ListParagraph"/>
        <w:numPr>
          <w:ilvl w:val="0"/>
          <w:numId w:val="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Refunding:</w:t>
      </w:r>
    </w:p>
    <w:p w14:paraId="59713AC8" w14:textId="5A01666A" w:rsidR="001D2028" w:rsidRDefault="001D2028" w:rsidP="001D2028">
      <w:pPr>
        <w:pStyle w:val="ListParagraph"/>
        <w:numPr>
          <w:ilvl w:val="1"/>
          <w:numId w:val="1"/>
        </w:num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Generally</w:t>
      </w:r>
      <w:proofErr w:type="gramEnd"/>
      <w:r>
        <w:rPr>
          <w:rFonts w:ascii="Times New Roman" w:eastAsia="Times New Roman" w:hAnsi="Times New Roman" w:cs="Times New Roman"/>
          <w:sz w:val="24"/>
          <w:szCs w:val="24"/>
        </w:rPr>
        <w:t xml:space="preserve"> do not need second referendum for refunding if refinancing results in lower net average interest rate.  </w:t>
      </w:r>
    </w:p>
    <w:p w14:paraId="02C2D417" w14:textId="49C8499E" w:rsidR="001D2028" w:rsidRDefault="001D2028" w:rsidP="001D2028">
      <w:pPr>
        <w:pStyle w:val="ListParagraph"/>
        <w:numPr>
          <w:ilvl w:val="0"/>
          <w:numId w:val="1"/>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Procedures for referendum in chapter 100, 101, FS</w:t>
      </w:r>
    </w:p>
    <w:p w14:paraId="23BD0D70" w14:textId="67CD4E11" w:rsidR="001D2028" w:rsidRPr="001D2028" w:rsidRDefault="001D2028" w:rsidP="001D2028">
      <w:pPr>
        <w:pStyle w:val="ListParagraph"/>
        <w:numPr>
          <w:ilvl w:val="1"/>
          <w:numId w:val="1"/>
        </w:numPr>
        <w:spacing w:after="0" w:line="240" w:lineRule="auto"/>
        <w:rPr>
          <w:rStyle w:val="text"/>
          <w:rFonts w:ascii="Times New Roman" w:eastAsia="Times New Roman" w:hAnsi="Times New Roman" w:cs="Times New Roman"/>
          <w:sz w:val="24"/>
          <w:szCs w:val="24"/>
        </w:rPr>
      </w:pPr>
      <w:r>
        <w:rPr>
          <w:rStyle w:val="sectionnumber"/>
          <w:rFonts w:ascii="Verdana" w:hAnsi="Verdana"/>
          <w:sz w:val="20"/>
          <w:szCs w:val="20"/>
        </w:rPr>
        <w:t>100.201</w:t>
      </w:r>
      <w:r>
        <w:rPr>
          <w:rStyle w:val="sectionnumber"/>
          <w:rFonts w:ascii="Verdana" w:hAnsi="Verdana"/>
          <w:sz w:val="20"/>
          <w:szCs w:val="20"/>
        </w:rPr>
        <w:t> </w:t>
      </w:r>
      <w:r>
        <w:rPr>
          <w:rStyle w:val="catchlinetext"/>
          <w:rFonts w:ascii="Verdana" w:hAnsi="Verdana"/>
          <w:sz w:val="20"/>
          <w:szCs w:val="20"/>
        </w:rPr>
        <w:t xml:space="preserve">Referendum required before issuing </w:t>
      </w:r>
      <w:proofErr w:type="gramStart"/>
      <w:r>
        <w:rPr>
          <w:rStyle w:val="catchlinetext"/>
          <w:rFonts w:ascii="Verdana" w:hAnsi="Verdana"/>
          <w:sz w:val="20"/>
          <w:szCs w:val="20"/>
        </w:rPr>
        <w:t>bonds.</w:t>
      </w:r>
      <w:r>
        <w:rPr>
          <w:rStyle w:val="emdash"/>
          <w:rFonts w:ascii="Verdana" w:hAnsi="Verdana"/>
          <w:sz w:val="20"/>
          <w:szCs w:val="20"/>
        </w:rPr>
        <w:t>—</w:t>
      </w:r>
      <w:proofErr w:type="gramEnd"/>
      <w:r>
        <w:rPr>
          <w:rStyle w:val="text"/>
          <w:rFonts w:ascii="Verdana" w:hAnsi="Verdana"/>
          <w:sz w:val="20"/>
          <w:szCs w:val="20"/>
        </w:rPr>
        <w:t>Whenever any county, district, or municipality is by law given power to issue bonds which are required to be approved by referendum, such bonds shall be issued only after the same have been approved by the majority of votes cast by those persons eligible to vote in such referendum. The election costs of such referendum shall be paid in whole or in part</w:t>
      </w:r>
      <w:proofErr w:type="gramStart"/>
      <w:r>
        <w:rPr>
          <w:rStyle w:val="text"/>
          <w:rFonts w:ascii="Verdana" w:hAnsi="Verdana"/>
          <w:sz w:val="20"/>
          <w:szCs w:val="20"/>
        </w:rPr>
        <w:t>, as the case may be, out</w:t>
      </w:r>
      <w:proofErr w:type="gramEnd"/>
      <w:r>
        <w:rPr>
          <w:rStyle w:val="text"/>
          <w:rFonts w:ascii="Verdana" w:hAnsi="Verdana"/>
          <w:sz w:val="20"/>
          <w:szCs w:val="20"/>
        </w:rPr>
        <w:t xml:space="preserve"> of the county, district, or municipal treasury.</w:t>
      </w:r>
    </w:p>
    <w:p w14:paraId="4A38C6F4" w14:textId="0121B455" w:rsidR="001D2028" w:rsidRPr="001D2028" w:rsidRDefault="001D2028" w:rsidP="001D2028">
      <w:pPr>
        <w:pStyle w:val="ListParagraph"/>
        <w:numPr>
          <w:ilvl w:val="1"/>
          <w:numId w:val="1"/>
        </w:numPr>
        <w:spacing w:after="0" w:line="240" w:lineRule="auto"/>
        <w:rPr>
          <w:rStyle w:val="text"/>
          <w:rFonts w:ascii="Times New Roman" w:eastAsia="Times New Roman" w:hAnsi="Times New Roman" w:cs="Times New Roman"/>
          <w:sz w:val="24"/>
          <w:szCs w:val="24"/>
        </w:rPr>
      </w:pPr>
      <w:r>
        <w:rPr>
          <w:rStyle w:val="sectionnumber"/>
          <w:rFonts w:ascii="Verdana" w:hAnsi="Verdana"/>
          <w:sz w:val="20"/>
          <w:szCs w:val="20"/>
        </w:rPr>
        <w:t>100.211</w:t>
      </w:r>
      <w:r>
        <w:rPr>
          <w:rStyle w:val="sectionnumber"/>
          <w:rFonts w:ascii="Verdana" w:hAnsi="Verdana"/>
          <w:sz w:val="20"/>
          <w:szCs w:val="20"/>
        </w:rPr>
        <w:t> </w:t>
      </w:r>
      <w:r>
        <w:rPr>
          <w:rStyle w:val="catchlinetext"/>
          <w:rFonts w:ascii="Verdana" w:hAnsi="Verdana"/>
          <w:sz w:val="20"/>
          <w:szCs w:val="20"/>
        </w:rPr>
        <w:t xml:space="preserve">Power to call bond referendum; notice </w:t>
      </w:r>
      <w:proofErr w:type="gramStart"/>
      <w:r>
        <w:rPr>
          <w:rStyle w:val="catchlinetext"/>
          <w:rFonts w:ascii="Verdana" w:hAnsi="Verdana"/>
          <w:sz w:val="20"/>
          <w:szCs w:val="20"/>
        </w:rPr>
        <w:t>required.</w:t>
      </w:r>
      <w:r>
        <w:rPr>
          <w:rStyle w:val="emdash"/>
          <w:rFonts w:ascii="Verdana" w:hAnsi="Verdana"/>
          <w:sz w:val="20"/>
          <w:szCs w:val="20"/>
        </w:rPr>
        <w:t>—</w:t>
      </w:r>
      <w:proofErr w:type="gramEnd"/>
      <w:r>
        <w:rPr>
          <w:rStyle w:val="text"/>
          <w:rFonts w:ascii="Verdana" w:hAnsi="Verdana"/>
          <w:sz w:val="20"/>
          <w:szCs w:val="20"/>
        </w:rPr>
        <w:t xml:space="preserve">The board of county commissioners or the governing authority of any district or municipality may call a bond referendum under this code. In the event any referendum is called to decide whether a majority of the electors participating are in favor of the issuance of bonds in the county, district, or municipality, the board of county commissioners, or the governing authority of the municipality or district, shall by resolution order the bond referendum to be held in the county, district, or municipality and shall give notice of the election in the manner prescribed by s. </w:t>
      </w:r>
      <w:hyperlink r:id="rId7" w:history="1">
        <w:r>
          <w:rPr>
            <w:rStyle w:val="Hyperlink"/>
            <w:rFonts w:ascii="Verdana" w:hAnsi="Verdana"/>
            <w:sz w:val="20"/>
            <w:szCs w:val="20"/>
          </w:rPr>
          <w:t>100.342</w:t>
        </w:r>
      </w:hyperlink>
      <w:r>
        <w:rPr>
          <w:rStyle w:val="text"/>
          <w:rFonts w:ascii="Verdana" w:hAnsi="Verdana"/>
          <w:sz w:val="20"/>
          <w:szCs w:val="20"/>
        </w:rPr>
        <w:t>.</w:t>
      </w:r>
    </w:p>
    <w:p w14:paraId="050FE059" w14:textId="08FDD705" w:rsidR="001D2028" w:rsidRPr="00855116" w:rsidRDefault="001D2028" w:rsidP="001D2028">
      <w:pPr>
        <w:pStyle w:val="ListParagraph"/>
        <w:numPr>
          <w:ilvl w:val="1"/>
          <w:numId w:val="1"/>
        </w:numPr>
        <w:spacing w:after="0" w:line="240" w:lineRule="auto"/>
        <w:rPr>
          <w:rStyle w:val="text"/>
          <w:rFonts w:ascii="Times New Roman" w:eastAsia="Times New Roman" w:hAnsi="Times New Roman" w:cs="Times New Roman"/>
          <w:sz w:val="24"/>
          <w:szCs w:val="24"/>
        </w:rPr>
      </w:pPr>
      <w:r>
        <w:rPr>
          <w:rStyle w:val="sectionnumber"/>
          <w:rFonts w:ascii="Verdana" w:hAnsi="Verdana"/>
          <w:sz w:val="20"/>
          <w:szCs w:val="20"/>
        </w:rPr>
        <w:t>100.221</w:t>
      </w:r>
      <w:r>
        <w:rPr>
          <w:rStyle w:val="sectionnumber"/>
          <w:rFonts w:ascii="Verdana" w:hAnsi="Verdana"/>
          <w:sz w:val="20"/>
          <w:szCs w:val="20"/>
        </w:rPr>
        <w:t> </w:t>
      </w:r>
      <w:r>
        <w:rPr>
          <w:rStyle w:val="catchlinetext"/>
          <w:rFonts w:ascii="Verdana" w:hAnsi="Verdana"/>
          <w:sz w:val="20"/>
          <w:szCs w:val="20"/>
        </w:rPr>
        <w:t>General election laws to govern bond referenda.</w:t>
      </w:r>
      <w:r>
        <w:rPr>
          <w:rStyle w:val="emdash"/>
          <w:rFonts w:ascii="Verdana" w:hAnsi="Verdana"/>
          <w:sz w:val="20"/>
          <w:szCs w:val="20"/>
        </w:rPr>
        <w:t>—</w:t>
      </w:r>
      <w:r>
        <w:rPr>
          <w:rStyle w:val="text"/>
          <w:rFonts w:ascii="Verdana" w:hAnsi="Verdana"/>
          <w:sz w:val="20"/>
          <w:szCs w:val="20"/>
        </w:rPr>
        <w:t xml:space="preserve">The laws governing the holding of general elections are applicable to bond referenda, except as provided in ss. </w:t>
      </w:r>
      <w:hyperlink r:id="rId8" w:history="1">
        <w:r>
          <w:rPr>
            <w:rStyle w:val="Hyperlink"/>
            <w:rFonts w:ascii="Verdana" w:hAnsi="Verdana"/>
            <w:sz w:val="20"/>
            <w:szCs w:val="20"/>
          </w:rPr>
          <w:t>100.201</w:t>
        </w:r>
      </w:hyperlink>
      <w:r>
        <w:rPr>
          <w:rStyle w:val="text"/>
          <w:rFonts w:ascii="Verdana" w:hAnsi="Verdana"/>
          <w:sz w:val="20"/>
          <w:szCs w:val="20"/>
        </w:rPr>
        <w:t>-</w:t>
      </w:r>
      <w:hyperlink r:id="rId9" w:history="1">
        <w:r>
          <w:rPr>
            <w:rStyle w:val="Hyperlink"/>
            <w:rFonts w:ascii="Verdana" w:hAnsi="Verdana"/>
            <w:sz w:val="20"/>
            <w:szCs w:val="20"/>
          </w:rPr>
          <w:t>100.351</w:t>
        </w:r>
      </w:hyperlink>
      <w:r>
        <w:rPr>
          <w:rStyle w:val="text"/>
          <w:rFonts w:ascii="Verdana" w:hAnsi="Verdana"/>
          <w:sz w:val="20"/>
          <w:szCs w:val="20"/>
        </w:rPr>
        <w:t>. A county, district, or municipality is not required to offer early voting for a bond referendum that is not held in conjunction with a county or state election. The places for voting in a bond referendum shall be the same as the places for voting in general elections when a bond referendum is held in the county or district; however, when a bond referendum is held in a municipality, the polling places shall be the same as in other municipal elections.</w:t>
      </w:r>
    </w:p>
    <w:p w14:paraId="0D2E85D4" w14:textId="144CCB2F" w:rsidR="00855116" w:rsidRPr="00855116" w:rsidRDefault="00855116" w:rsidP="001D2028">
      <w:pPr>
        <w:pStyle w:val="ListParagraph"/>
        <w:numPr>
          <w:ilvl w:val="1"/>
          <w:numId w:val="1"/>
        </w:numPr>
        <w:spacing w:after="0" w:line="240" w:lineRule="auto"/>
        <w:rPr>
          <w:rStyle w:val="text"/>
          <w:rFonts w:ascii="Times New Roman" w:eastAsia="Times New Roman" w:hAnsi="Times New Roman" w:cs="Times New Roman"/>
          <w:sz w:val="24"/>
          <w:szCs w:val="24"/>
        </w:rPr>
      </w:pPr>
      <w:r>
        <w:rPr>
          <w:rStyle w:val="sectionnumber"/>
          <w:rFonts w:ascii="Verdana" w:hAnsi="Verdana"/>
          <w:sz w:val="20"/>
          <w:szCs w:val="20"/>
        </w:rPr>
        <w:t>100.261</w:t>
      </w:r>
      <w:r>
        <w:rPr>
          <w:rStyle w:val="sectionnumber"/>
          <w:rFonts w:ascii="Verdana" w:hAnsi="Verdana"/>
          <w:sz w:val="20"/>
          <w:szCs w:val="20"/>
        </w:rPr>
        <w:t> </w:t>
      </w:r>
      <w:r>
        <w:rPr>
          <w:rStyle w:val="catchlinetext"/>
          <w:rFonts w:ascii="Verdana" w:hAnsi="Verdana"/>
          <w:sz w:val="20"/>
          <w:szCs w:val="20"/>
        </w:rPr>
        <w:t>Holding bond referenda with other elections.</w:t>
      </w:r>
      <w:r>
        <w:rPr>
          <w:rStyle w:val="emdash"/>
          <w:rFonts w:ascii="Verdana" w:hAnsi="Verdana"/>
          <w:sz w:val="20"/>
          <w:szCs w:val="20"/>
        </w:rPr>
        <w:t>—</w:t>
      </w:r>
      <w:r>
        <w:rPr>
          <w:rStyle w:val="text"/>
          <w:rFonts w:ascii="Verdana" w:hAnsi="Verdana"/>
          <w:sz w:val="20"/>
          <w:szCs w:val="20"/>
        </w:rPr>
        <w:t xml:space="preserve">Whenever any bond referendum is called, it shall be lawful for any county, district, or municipality </w:t>
      </w:r>
      <w:r>
        <w:rPr>
          <w:rStyle w:val="text"/>
          <w:rFonts w:ascii="Verdana" w:hAnsi="Verdana"/>
          <w:sz w:val="20"/>
          <w:szCs w:val="20"/>
        </w:rPr>
        <w:lastRenderedPageBreak/>
        <w:t>to hold such bond referendum on the day of any state, county, or municipal primary or general election, or on the day of any election of such county, district, or municipality for any purpose other than the purpose of voting on such bonds. If such bond referendum is held concurrently with a regularly scheduled election, the county, district, or municipality shall pay only its pro rata share of election costs directly related to the bond referendum. However, nothing in this section shall prohibit the holding of a special or separate bond referendum.</w:t>
      </w:r>
    </w:p>
    <w:p w14:paraId="611B8FC1" w14:textId="1FA7F798" w:rsidR="00855116" w:rsidRPr="00855116" w:rsidRDefault="00855116" w:rsidP="001D2028">
      <w:pPr>
        <w:pStyle w:val="ListParagraph"/>
        <w:numPr>
          <w:ilvl w:val="1"/>
          <w:numId w:val="1"/>
        </w:numPr>
        <w:spacing w:after="0" w:line="240" w:lineRule="auto"/>
        <w:rPr>
          <w:rStyle w:val="text"/>
          <w:rFonts w:ascii="Times New Roman" w:eastAsia="Times New Roman" w:hAnsi="Times New Roman" w:cs="Times New Roman"/>
          <w:sz w:val="24"/>
          <w:szCs w:val="24"/>
        </w:rPr>
      </w:pPr>
      <w:r>
        <w:rPr>
          <w:rStyle w:val="sectionnumber"/>
          <w:rFonts w:ascii="Verdana" w:hAnsi="Verdana"/>
          <w:sz w:val="20"/>
          <w:szCs w:val="20"/>
        </w:rPr>
        <w:t>100.281</w:t>
      </w:r>
      <w:r>
        <w:rPr>
          <w:rStyle w:val="sectionnumber"/>
          <w:rFonts w:ascii="Verdana" w:hAnsi="Verdana"/>
          <w:sz w:val="20"/>
          <w:szCs w:val="20"/>
        </w:rPr>
        <w:t> </w:t>
      </w:r>
      <w:r>
        <w:rPr>
          <w:rStyle w:val="catchlinetext"/>
          <w:rFonts w:ascii="Verdana" w:hAnsi="Verdana"/>
          <w:sz w:val="20"/>
          <w:szCs w:val="20"/>
        </w:rPr>
        <w:t xml:space="preserve">Approval to issue </w:t>
      </w:r>
      <w:proofErr w:type="gramStart"/>
      <w:r>
        <w:rPr>
          <w:rStyle w:val="catchlinetext"/>
          <w:rFonts w:ascii="Verdana" w:hAnsi="Verdana"/>
          <w:sz w:val="20"/>
          <w:szCs w:val="20"/>
        </w:rPr>
        <w:t>bonds.</w:t>
      </w:r>
      <w:r>
        <w:rPr>
          <w:rStyle w:val="emdash"/>
          <w:rFonts w:ascii="Verdana" w:hAnsi="Verdana"/>
          <w:sz w:val="20"/>
          <w:szCs w:val="20"/>
        </w:rPr>
        <w:t>—</w:t>
      </w:r>
      <w:proofErr w:type="gramEnd"/>
      <w:r>
        <w:rPr>
          <w:rStyle w:val="text"/>
          <w:rFonts w:ascii="Verdana" w:hAnsi="Verdana"/>
          <w:sz w:val="20"/>
          <w:szCs w:val="20"/>
        </w:rPr>
        <w:t xml:space="preserve">Should a majority of the votes cast in a bond referendum be in favor of the issuance of bonds, then the issuance of said bonds is deemed authorized in accordance with s. 12, Art. VII of the State Constitution. In the event less than </w:t>
      </w:r>
      <w:proofErr w:type="gramStart"/>
      <w:r>
        <w:rPr>
          <w:rStyle w:val="text"/>
          <w:rFonts w:ascii="Verdana" w:hAnsi="Verdana"/>
          <w:sz w:val="20"/>
          <w:szCs w:val="20"/>
        </w:rPr>
        <w:t>a majority of</w:t>
      </w:r>
      <w:proofErr w:type="gramEnd"/>
      <w:r>
        <w:rPr>
          <w:rStyle w:val="text"/>
          <w:rFonts w:ascii="Verdana" w:hAnsi="Verdana"/>
          <w:sz w:val="20"/>
          <w:szCs w:val="20"/>
        </w:rPr>
        <w:t xml:space="preserve"> those voting on the issue voted in favor of the issuance of the proposed bonds, then the issuance of those specified bonds shall be deemed to have failed of approval and it is unlawful to issue or attempt to issue said bonds.</w:t>
      </w:r>
    </w:p>
    <w:p w14:paraId="09D23FD0" w14:textId="42AB3198" w:rsidR="00855116" w:rsidRPr="00855116" w:rsidRDefault="00855116" w:rsidP="001D2028">
      <w:pPr>
        <w:pStyle w:val="ListParagraph"/>
        <w:numPr>
          <w:ilvl w:val="1"/>
          <w:numId w:val="1"/>
        </w:numPr>
        <w:spacing w:after="0" w:line="240" w:lineRule="auto"/>
        <w:rPr>
          <w:rStyle w:val="text"/>
          <w:rFonts w:ascii="Times New Roman" w:eastAsia="Times New Roman" w:hAnsi="Times New Roman" w:cs="Times New Roman"/>
          <w:sz w:val="24"/>
          <w:szCs w:val="24"/>
        </w:rPr>
      </w:pPr>
      <w:r>
        <w:rPr>
          <w:rStyle w:val="sectionnumber"/>
          <w:rFonts w:ascii="Verdana" w:hAnsi="Verdana"/>
          <w:sz w:val="20"/>
          <w:szCs w:val="20"/>
        </w:rPr>
        <w:t>100.301</w:t>
      </w:r>
      <w:r>
        <w:rPr>
          <w:rStyle w:val="sectionnumber"/>
          <w:rFonts w:ascii="Verdana" w:hAnsi="Verdana"/>
          <w:sz w:val="20"/>
          <w:szCs w:val="20"/>
        </w:rPr>
        <w:t> </w:t>
      </w:r>
      <w:r>
        <w:rPr>
          <w:rStyle w:val="catchlinetext"/>
          <w:rFonts w:ascii="Verdana" w:hAnsi="Verdana"/>
          <w:sz w:val="20"/>
          <w:szCs w:val="20"/>
        </w:rPr>
        <w:t>Refunding bonds excluded.</w:t>
      </w:r>
      <w:r>
        <w:rPr>
          <w:rStyle w:val="emdash"/>
          <w:rFonts w:ascii="Verdana" w:hAnsi="Verdana"/>
          <w:sz w:val="20"/>
          <w:szCs w:val="20"/>
        </w:rPr>
        <w:t>—</w:t>
      </w:r>
      <w:r>
        <w:rPr>
          <w:rStyle w:val="text"/>
          <w:rFonts w:ascii="Verdana" w:hAnsi="Verdana"/>
          <w:sz w:val="20"/>
          <w:szCs w:val="20"/>
        </w:rPr>
        <w:t xml:space="preserve">Sections </w:t>
      </w:r>
      <w:hyperlink r:id="rId10" w:history="1">
        <w:r>
          <w:rPr>
            <w:rStyle w:val="Hyperlink"/>
            <w:rFonts w:ascii="Verdana" w:hAnsi="Verdana"/>
            <w:sz w:val="20"/>
            <w:szCs w:val="20"/>
          </w:rPr>
          <w:t>100.201</w:t>
        </w:r>
      </w:hyperlink>
      <w:r>
        <w:rPr>
          <w:rStyle w:val="text"/>
          <w:rFonts w:ascii="Verdana" w:hAnsi="Verdana"/>
          <w:sz w:val="20"/>
          <w:szCs w:val="20"/>
        </w:rPr>
        <w:t>-</w:t>
      </w:r>
      <w:hyperlink r:id="rId11" w:history="1">
        <w:r>
          <w:rPr>
            <w:rStyle w:val="Hyperlink"/>
            <w:rFonts w:ascii="Verdana" w:hAnsi="Verdana"/>
            <w:sz w:val="20"/>
            <w:szCs w:val="20"/>
          </w:rPr>
          <w:t>100.351</w:t>
        </w:r>
      </w:hyperlink>
      <w:r>
        <w:rPr>
          <w:rStyle w:val="text"/>
          <w:rFonts w:ascii="Verdana" w:hAnsi="Verdana"/>
          <w:sz w:val="20"/>
          <w:szCs w:val="20"/>
        </w:rPr>
        <w:t xml:space="preserve"> shall not apply to refunding bonds, and wherever the word “bond” or “bonds” is used in these sections it shall be construed to exclude refunding bonds; but if the statute, ordinance, or resolution under which refunding bonds are authorized or are to be issued requires a referendum to determine whether such refunding bonds shall be issued, the referendum may be held as provided by ss. </w:t>
      </w:r>
      <w:hyperlink r:id="rId12" w:history="1">
        <w:r>
          <w:rPr>
            <w:rStyle w:val="Hyperlink"/>
            <w:rFonts w:ascii="Verdana" w:hAnsi="Verdana"/>
            <w:sz w:val="20"/>
            <w:szCs w:val="20"/>
          </w:rPr>
          <w:t>100.201</w:t>
        </w:r>
      </w:hyperlink>
      <w:r>
        <w:rPr>
          <w:rStyle w:val="text"/>
          <w:rFonts w:ascii="Verdana" w:hAnsi="Verdana"/>
          <w:sz w:val="20"/>
          <w:szCs w:val="20"/>
        </w:rPr>
        <w:t>-</w:t>
      </w:r>
      <w:hyperlink r:id="rId13" w:history="1">
        <w:r>
          <w:rPr>
            <w:rStyle w:val="Hyperlink"/>
            <w:rFonts w:ascii="Verdana" w:hAnsi="Verdana"/>
            <w:sz w:val="20"/>
            <w:szCs w:val="20"/>
          </w:rPr>
          <w:t>100.351</w:t>
        </w:r>
      </w:hyperlink>
      <w:r>
        <w:rPr>
          <w:rStyle w:val="text"/>
          <w:rFonts w:ascii="Verdana" w:hAnsi="Verdana"/>
          <w:sz w:val="20"/>
          <w:szCs w:val="20"/>
        </w:rPr>
        <w:t>.</w:t>
      </w:r>
    </w:p>
    <w:p w14:paraId="3C9A7D92" w14:textId="57FDB7F3" w:rsidR="00855116" w:rsidRPr="00855116" w:rsidRDefault="00855116" w:rsidP="001D2028">
      <w:pPr>
        <w:pStyle w:val="ListParagraph"/>
        <w:numPr>
          <w:ilvl w:val="1"/>
          <w:numId w:val="1"/>
        </w:numPr>
        <w:spacing w:after="0" w:line="240" w:lineRule="auto"/>
        <w:rPr>
          <w:rStyle w:val="text"/>
          <w:rFonts w:ascii="Times New Roman" w:eastAsia="Times New Roman" w:hAnsi="Times New Roman" w:cs="Times New Roman"/>
          <w:sz w:val="24"/>
          <w:szCs w:val="24"/>
        </w:rPr>
      </w:pPr>
      <w:r>
        <w:rPr>
          <w:rStyle w:val="sectionnumber"/>
          <w:rFonts w:ascii="Verdana" w:hAnsi="Verdana"/>
          <w:sz w:val="20"/>
          <w:szCs w:val="20"/>
        </w:rPr>
        <w:t>100.331</w:t>
      </w:r>
      <w:r>
        <w:rPr>
          <w:rStyle w:val="sectionnumber"/>
          <w:rFonts w:ascii="Verdana" w:hAnsi="Verdana"/>
          <w:sz w:val="20"/>
          <w:szCs w:val="20"/>
        </w:rPr>
        <w:t> </w:t>
      </w:r>
      <w:r>
        <w:rPr>
          <w:rStyle w:val="catchlinetext"/>
          <w:rFonts w:ascii="Verdana" w:hAnsi="Verdana"/>
          <w:sz w:val="20"/>
          <w:szCs w:val="20"/>
        </w:rPr>
        <w:t xml:space="preserve">Referendum for defeated bond </w:t>
      </w:r>
      <w:proofErr w:type="gramStart"/>
      <w:r>
        <w:rPr>
          <w:rStyle w:val="catchlinetext"/>
          <w:rFonts w:ascii="Verdana" w:hAnsi="Verdana"/>
          <w:sz w:val="20"/>
          <w:szCs w:val="20"/>
        </w:rPr>
        <w:t>issue.</w:t>
      </w:r>
      <w:r>
        <w:rPr>
          <w:rStyle w:val="emdash"/>
          <w:rFonts w:ascii="Verdana" w:hAnsi="Verdana"/>
          <w:sz w:val="20"/>
          <w:szCs w:val="20"/>
        </w:rPr>
        <w:t>—</w:t>
      </w:r>
      <w:proofErr w:type="gramEnd"/>
      <w:r>
        <w:rPr>
          <w:rStyle w:val="text"/>
          <w:rFonts w:ascii="Verdana" w:hAnsi="Verdana"/>
          <w:sz w:val="20"/>
          <w:szCs w:val="20"/>
        </w:rPr>
        <w:t>If any bond referendum is called and held for approving the issuance of bonds for a particular purpose and such referendum does not result in the approval of the bonds, then no other referendum for the approval of bonds for the same purpose shall be called for at least 6 months.</w:t>
      </w:r>
    </w:p>
    <w:p w14:paraId="3B86B91F" w14:textId="39121305" w:rsidR="00855116" w:rsidRDefault="00855116" w:rsidP="001D2028">
      <w:pPr>
        <w:pStyle w:val="ListParagraph"/>
        <w:numPr>
          <w:ilvl w:val="1"/>
          <w:numId w:val="1"/>
        </w:numPr>
        <w:spacing w:after="0" w:line="240" w:lineRule="auto"/>
        <w:rPr>
          <w:rFonts w:ascii="Times New Roman" w:eastAsia="Times New Roman" w:hAnsi="Times New Roman" w:cs="Times New Roman"/>
          <w:sz w:val="24"/>
          <w:szCs w:val="24"/>
        </w:rPr>
      </w:pPr>
      <w:r>
        <w:rPr>
          <w:rStyle w:val="sectionnumber"/>
          <w:rFonts w:ascii="Verdana" w:hAnsi="Verdana"/>
          <w:sz w:val="20"/>
          <w:szCs w:val="20"/>
        </w:rPr>
        <w:t>100.341</w:t>
      </w:r>
      <w:r>
        <w:rPr>
          <w:rStyle w:val="sectionnumber"/>
          <w:rFonts w:ascii="Verdana" w:hAnsi="Verdana"/>
          <w:sz w:val="20"/>
          <w:szCs w:val="20"/>
        </w:rPr>
        <w:t> </w:t>
      </w:r>
      <w:r>
        <w:rPr>
          <w:rStyle w:val="catchlinetext"/>
          <w:rFonts w:ascii="Verdana" w:hAnsi="Verdana"/>
          <w:sz w:val="20"/>
          <w:szCs w:val="20"/>
        </w:rPr>
        <w:t xml:space="preserve">Bond referendum </w:t>
      </w:r>
      <w:proofErr w:type="gramStart"/>
      <w:r>
        <w:rPr>
          <w:rStyle w:val="catchlinetext"/>
          <w:rFonts w:ascii="Verdana" w:hAnsi="Verdana"/>
          <w:sz w:val="20"/>
          <w:szCs w:val="20"/>
        </w:rPr>
        <w:t>ballot.</w:t>
      </w:r>
      <w:r>
        <w:rPr>
          <w:rStyle w:val="emdash"/>
          <w:rFonts w:ascii="Verdana" w:hAnsi="Verdana"/>
          <w:sz w:val="20"/>
          <w:szCs w:val="20"/>
        </w:rPr>
        <w:t>—</w:t>
      </w:r>
      <w:proofErr w:type="gramEnd"/>
      <w:r>
        <w:rPr>
          <w:rStyle w:val="text"/>
          <w:rFonts w:ascii="Verdana" w:hAnsi="Verdana"/>
          <w:sz w:val="20"/>
          <w:szCs w:val="20"/>
        </w:rPr>
        <w:t>The ballots used in bond referenda shall include a printed description of the issuance of bonds to be voted on as prescribed by the authority calling the referendum. A separate statement of each issue of bonds to be approved, giving the amount of the bonds and interest rate thereon, together with other details necessary to inform the electors, shall be printed on the ballots in connection with the question “For Bonds” and “Against Bonds.”</w:t>
      </w:r>
    </w:p>
    <w:p w14:paraId="348572D9" w14:textId="65143D20" w:rsidR="001D2028" w:rsidRDefault="001D2028" w:rsidP="001D2028">
      <w:pPr>
        <w:spacing w:after="0" w:line="240" w:lineRule="auto"/>
        <w:rPr>
          <w:rFonts w:ascii="Times New Roman" w:eastAsia="Times New Roman" w:hAnsi="Times New Roman" w:cs="Times New Roman"/>
          <w:sz w:val="24"/>
          <w:szCs w:val="24"/>
        </w:rPr>
      </w:pPr>
    </w:p>
    <w:p w14:paraId="5479D728" w14:textId="7CE49672" w:rsidR="001D2028" w:rsidRDefault="001D2028" w:rsidP="001D202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Revenue Bonds</w:t>
      </w:r>
    </w:p>
    <w:p w14:paraId="686C8334" w14:textId="25F26265" w:rsidR="001D2028" w:rsidRDefault="001D2028" w:rsidP="001D2028">
      <w:pPr>
        <w:spacing w:after="0" w:line="240" w:lineRule="auto"/>
        <w:rPr>
          <w:rFonts w:ascii="Times New Roman" w:eastAsia="Times New Roman" w:hAnsi="Times New Roman" w:cs="Times New Roman"/>
          <w:sz w:val="24"/>
          <w:szCs w:val="24"/>
        </w:rPr>
      </w:pPr>
    </w:p>
    <w:p w14:paraId="347E4E76" w14:textId="1903171D" w:rsidR="00F3266D" w:rsidRDefault="001D2028" w:rsidP="001D2028">
      <w:pPr>
        <w:pStyle w:val="ListParagraph"/>
        <w:numPr>
          <w:ilvl w:val="0"/>
          <w:numId w:val="2"/>
        </w:numPr>
        <w:spacing w:after="0" w:line="240" w:lineRule="auto"/>
        <w:rPr>
          <w:rFonts w:ascii="Times New Roman" w:eastAsia="Times New Roman" w:hAnsi="Times New Roman" w:cs="Times New Roman"/>
          <w:sz w:val="24"/>
          <w:szCs w:val="24"/>
        </w:rPr>
      </w:pPr>
      <w:r w:rsidRPr="001D2028">
        <w:rPr>
          <w:rFonts w:ascii="Times New Roman" w:eastAsia="Times New Roman" w:hAnsi="Times New Roman" w:cs="Times New Roman"/>
          <w:sz w:val="24"/>
          <w:szCs w:val="24"/>
          <w:u w:val="single"/>
        </w:rPr>
        <w:t>Do not</w:t>
      </w:r>
      <w:r>
        <w:rPr>
          <w:rFonts w:ascii="Times New Roman" w:eastAsia="Times New Roman" w:hAnsi="Times New Roman" w:cs="Times New Roman"/>
          <w:sz w:val="24"/>
          <w:szCs w:val="24"/>
        </w:rPr>
        <w:t xml:space="preserve"> pledge the full faith and credit of an issuer with taxing power</w:t>
      </w:r>
    </w:p>
    <w:p w14:paraId="269A643E" w14:textId="7254C5D9" w:rsidR="00F3266D" w:rsidRDefault="00F3266D" w:rsidP="001D2028">
      <w:pPr>
        <w:pStyle w:val="ListParagraph"/>
        <w:numPr>
          <w:ilvl w:val="0"/>
          <w:numId w:val="2"/>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Payable from specific sources of revenue that do not allow bond holder to compel taxation or appropriation not pledged</w:t>
      </w:r>
    </w:p>
    <w:p w14:paraId="39370540" w14:textId="3068F2FB" w:rsidR="00F3266D" w:rsidRDefault="00F3266D" w:rsidP="001D2028">
      <w:pPr>
        <w:pStyle w:val="ListParagraph"/>
        <w:numPr>
          <w:ilvl w:val="0"/>
          <w:numId w:val="2"/>
        </w:num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Generally</w:t>
      </w:r>
      <w:proofErr w:type="gramEnd"/>
      <w:r>
        <w:rPr>
          <w:rFonts w:ascii="Times New Roman" w:eastAsia="Times New Roman" w:hAnsi="Times New Roman" w:cs="Times New Roman"/>
          <w:sz w:val="24"/>
          <w:szCs w:val="24"/>
        </w:rPr>
        <w:t xml:space="preserve"> no voter approval required</w:t>
      </w:r>
    </w:p>
    <w:p w14:paraId="5DA692B1" w14:textId="215FA976" w:rsidR="00F3266D" w:rsidRDefault="00F3266D" w:rsidP="00F3266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Subsets of above:</w:t>
      </w:r>
    </w:p>
    <w:p w14:paraId="234E1D37" w14:textId="79A00E2A" w:rsidR="00F3266D" w:rsidRPr="00F3266D" w:rsidRDefault="00F3266D" w:rsidP="00F3266D">
      <w:pPr>
        <w:spacing w:after="0" w:line="240" w:lineRule="auto"/>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Typical Revenue Bonds</w:t>
      </w:r>
    </w:p>
    <w:p w14:paraId="453E4526" w14:textId="5FF88F84" w:rsidR="00F3266D" w:rsidRPr="00F3266D" w:rsidRDefault="00F3266D" w:rsidP="00F3266D">
      <w:pPr>
        <w:pStyle w:val="ListParagraph"/>
        <w:numPr>
          <w:ilvl w:val="0"/>
          <w:numId w:val="2"/>
        </w:numPr>
        <w:spacing w:after="0" w:line="240" w:lineRule="auto"/>
        <w:rPr>
          <w:rFonts w:ascii="Times New Roman" w:eastAsia="Times New Roman" w:hAnsi="Times New Roman" w:cs="Times New Roman"/>
          <w:sz w:val="24"/>
          <w:szCs w:val="24"/>
        </w:rPr>
      </w:pPr>
      <w:r w:rsidRPr="00F3266D">
        <w:rPr>
          <w:rFonts w:ascii="Times New Roman" w:eastAsia="Times New Roman" w:hAnsi="Times New Roman" w:cs="Times New Roman"/>
          <w:sz w:val="24"/>
          <w:szCs w:val="24"/>
        </w:rPr>
        <w:t xml:space="preserve">Can be secured by available non-ad valorem revenues for the payment of debt service. </w:t>
      </w:r>
    </w:p>
    <w:p w14:paraId="14A69F77" w14:textId="6DF4C89D" w:rsidR="00F3266D" w:rsidRDefault="00F3266D" w:rsidP="00F3266D">
      <w:pPr>
        <w:pStyle w:val="ListParagraph"/>
        <w:numPr>
          <w:ilvl w:val="1"/>
          <w:numId w:val="2"/>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Subject to covenant that local government pay for all essential governmental services (County of Volusia v. State (</w:t>
      </w:r>
      <w:proofErr w:type="spellStart"/>
      <w:r>
        <w:rPr>
          <w:rFonts w:ascii="Times New Roman" w:eastAsia="Times New Roman" w:hAnsi="Times New Roman" w:cs="Times New Roman"/>
          <w:sz w:val="24"/>
          <w:szCs w:val="24"/>
        </w:rPr>
        <w:t>fla.</w:t>
      </w:r>
      <w:proofErr w:type="spellEnd"/>
      <w:r>
        <w:rPr>
          <w:rFonts w:ascii="Times New Roman" w:eastAsia="Times New Roman" w:hAnsi="Times New Roman" w:cs="Times New Roman"/>
          <w:sz w:val="24"/>
          <w:szCs w:val="24"/>
        </w:rPr>
        <w:t xml:space="preserve"> 1982)</w:t>
      </w:r>
    </w:p>
    <w:p w14:paraId="62C12A71" w14:textId="06571120" w:rsidR="00F3266D" w:rsidRDefault="00F3266D" w:rsidP="00F3266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Certificates of Participation</w:t>
      </w:r>
    </w:p>
    <w:p w14:paraId="55389CAA" w14:textId="6C6836E6" w:rsidR="00F3266D" w:rsidRDefault="00F3266D" w:rsidP="00D947EC">
      <w:pPr>
        <w:pStyle w:val="ListParagraph"/>
        <w:numPr>
          <w:ilvl w:val="0"/>
          <w:numId w:val="2"/>
        </w:numPr>
        <w:spacing w:after="0" w:line="240" w:lineRule="auto"/>
        <w:rPr>
          <w:rFonts w:ascii="Times New Roman" w:eastAsia="Times New Roman" w:hAnsi="Times New Roman" w:cs="Times New Roman"/>
          <w:sz w:val="24"/>
          <w:szCs w:val="24"/>
        </w:rPr>
      </w:pPr>
      <w:r w:rsidRPr="00D947EC">
        <w:rPr>
          <w:rFonts w:ascii="Times New Roman" w:eastAsia="Times New Roman" w:hAnsi="Times New Roman" w:cs="Times New Roman"/>
          <w:sz w:val="24"/>
          <w:szCs w:val="24"/>
        </w:rPr>
        <w:t xml:space="preserve">Are undivided interest in lease payments </w:t>
      </w:r>
    </w:p>
    <w:p w14:paraId="750F0DD0" w14:textId="0EF03CF0" w:rsidR="00BF7D29" w:rsidRDefault="00BF7D29" w:rsidP="00BF7D2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Equipment Leases</w:t>
      </w:r>
    </w:p>
    <w:p w14:paraId="315E6DF9" w14:textId="78C054CE" w:rsidR="00BF7D29" w:rsidRDefault="00BF7D29" w:rsidP="00BF7D29">
      <w:pPr>
        <w:pStyle w:val="ListParagraph"/>
        <w:numPr>
          <w:ilvl w:val="0"/>
          <w:numId w:val="2"/>
        </w:numPr>
        <w:spacing w:after="0" w:line="240" w:lineRule="auto"/>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Similar to</w:t>
      </w:r>
      <w:proofErr w:type="gramEnd"/>
      <w:r>
        <w:rPr>
          <w:rFonts w:ascii="Times New Roman" w:eastAsia="Times New Roman" w:hAnsi="Times New Roman" w:cs="Times New Roman"/>
          <w:sz w:val="24"/>
          <w:szCs w:val="24"/>
        </w:rPr>
        <w:t xml:space="preserve"> certificates of participation.  </w:t>
      </w:r>
    </w:p>
    <w:p w14:paraId="058254F5" w14:textId="1842EF6B" w:rsidR="00E63FF2" w:rsidRDefault="00E63FF2" w:rsidP="00E63FF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lastRenderedPageBreak/>
        <w:t>Industrial Development or Private Activity Bonds</w:t>
      </w:r>
    </w:p>
    <w:p w14:paraId="5AE7AC0B" w14:textId="72C7DC73" w:rsidR="00E63FF2" w:rsidRDefault="00E63FF2" w:rsidP="00E63FF2">
      <w:pPr>
        <w:pStyle w:val="ListParagraph"/>
        <w:numPr>
          <w:ilvl w:val="0"/>
          <w:numId w:val="2"/>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Statutorily authorized for:</w:t>
      </w:r>
      <w:r>
        <w:rPr>
          <w:rFonts w:ascii="Times New Roman" w:eastAsia="Times New Roman" w:hAnsi="Times New Roman" w:cs="Times New Roman"/>
          <w:sz w:val="24"/>
          <w:szCs w:val="24"/>
        </w:rPr>
        <w:tab/>
      </w:r>
    </w:p>
    <w:p w14:paraId="78612F3F" w14:textId="1C6F8914" w:rsidR="00E63FF2" w:rsidRDefault="00E63FF2" w:rsidP="00E63FF2">
      <w:pPr>
        <w:pStyle w:val="ListParagraph"/>
        <w:numPr>
          <w:ilvl w:val="1"/>
          <w:numId w:val="2"/>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Educational facilities (chapter 243)</w:t>
      </w:r>
    </w:p>
    <w:p w14:paraId="7DEA9748" w14:textId="43004931" w:rsidR="00E63FF2" w:rsidRDefault="00E63FF2" w:rsidP="00E63FF2">
      <w:pPr>
        <w:pStyle w:val="ListParagraph"/>
        <w:numPr>
          <w:ilvl w:val="1"/>
          <w:numId w:val="2"/>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Health Facilities (chapter 154)</w:t>
      </w:r>
    </w:p>
    <w:p w14:paraId="7D04A6FA" w14:textId="58663E61" w:rsidR="00E63FF2" w:rsidRDefault="00E63FF2" w:rsidP="00E63FF2">
      <w:pPr>
        <w:pStyle w:val="ListParagraph"/>
        <w:numPr>
          <w:ilvl w:val="1"/>
          <w:numId w:val="2"/>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Industrial development, housing development, research development (chapter 159)</w:t>
      </w:r>
    </w:p>
    <w:p w14:paraId="6573F30A" w14:textId="0183A3E1" w:rsidR="00E63FF2" w:rsidRDefault="00E63FF2" w:rsidP="00E63FF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Community Redevelopment Agency/Tax Increment Bonds</w:t>
      </w:r>
    </w:p>
    <w:p w14:paraId="32329BD9" w14:textId="2BF8F857" w:rsidR="00E63FF2" w:rsidRDefault="00E63FF2" w:rsidP="00E63FF2">
      <w:pPr>
        <w:pStyle w:val="ListParagraph"/>
        <w:numPr>
          <w:ilvl w:val="0"/>
          <w:numId w:val="2"/>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Chapter 163—payable from tax increment difference between the assessed value before and after the redevelopment project (TIF)</w:t>
      </w:r>
    </w:p>
    <w:p w14:paraId="095BED5D" w14:textId="4C1BA06F" w:rsidR="00E63FF2" w:rsidRDefault="00E63FF2" w:rsidP="00E63FF2">
      <w:pPr>
        <w:pStyle w:val="ListParagraph"/>
        <w:numPr>
          <w:ilvl w:val="0"/>
          <w:numId w:val="2"/>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Strand upheld issuance without referenda approval.  </w:t>
      </w:r>
    </w:p>
    <w:p w14:paraId="5AE6B1BE" w14:textId="7FB186E0" w:rsidR="00E63FF2" w:rsidRDefault="00E63FF2" w:rsidP="00E63FF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Special Assessment Bonds</w:t>
      </w:r>
    </w:p>
    <w:p w14:paraId="58902AD2" w14:textId="2DC7A669" w:rsidR="00E63FF2" w:rsidRDefault="00E63FF2" w:rsidP="00E63FF2">
      <w:pPr>
        <w:spacing w:after="0" w:line="240" w:lineRule="auto"/>
        <w:rPr>
          <w:rFonts w:ascii="Times New Roman" w:eastAsia="Times New Roman" w:hAnsi="Times New Roman" w:cs="Times New Roman"/>
          <w:sz w:val="24"/>
          <w:szCs w:val="24"/>
        </w:rPr>
      </w:pPr>
    </w:p>
    <w:p w14:paraId="5F47E81A" w14:textId="64A0251B" w:rsidR="00E63FF2" w:rsidRDefault="00E63FF2" w:rsidP="00E63FF2">
      <w:pPr>
        <w:spacing w:after="0" w:line="240" w:lineRule="auto"/>
        <w:rPr>
          <w:rFonts w:ascii="Times New Roman" w:eastAsia="Times New Roman" w:hAnsi="Times New Roman" w:cs="Times New Roman"/>
          <w:sz w:val="24"/>
          <w:szCs w:val="24"/>
        </w:rPr>
      </w:pPr>
    </w:p>
    <w:p w14:paraId="6EBC59B8" w14:textId="4B6629A5" w:rsidR="00E63FF2" w:rsidRDefault="00E63FF2" w:rsidP="00E63FF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Know difference between </w:t>
      </w:r>
      <w:r w:rsidRPr="00E63FF2">
        <w:rPr>
          <w:rFonts w:ascii="Times New Roman" w:eastAsia="Times New Roman" w:hAnsi="Times New Roman" w:cs="Times New Roman"/>
          <w:sz w:val="24"/>
          <w:szCs w:val="24"/>
          <w:u w:val="single"/>
        </w:rPr>
        <w:t>public offerings</w:t>
      </w:r>
      <w:r>
        <w:rPr>
          <w:rFonts w:ascii="Times New Roman" w:eastAsia="Times New Roman" w:hAnsi="Times New Roman" w:cs="Times New Roman"/>
          <w:sz w:val="24"/>
          <w:szCs w:val="24"/>
        </w:rPr>
        <w:t xml:space="preserve"> (offered by investment firm on behalf of governmental entity with offering materials) and </w:t>
      </w:r>
      <w:r w:rsidRPr="00E63FF2">
        <w:rPr>
          <w:rFonts w:ascii="Times New Roman" w:eastAsia="Times New Roman" w:hAnsi="Times New Roman" w:cs="Times New Roman"/>
          <w:sz w:val="24"/>
          <w:szCs w:val="24"/>
          <w:u w:val="single"/>
        </w:rPr>
        <w:t>private placements</w:t>
      </w:r>
      <w:r>
        <w:rPr>
          <w:rFonts w:ascii="Times New Roman" w:eastAsia="Times New Roman" w:hAnsi="Times New Roman" w:cs="Times New Roman"/>
          <w:sz w:val="24"/>
          <w:szCs w:val="24"/>
        </w:rPr>
        <w:t xml:space="preserve"> (usually purchase of single bond for entire amount from financial institution</w:t>
      </w:r>
    </w:p>
    <w:p w14:paraId="2958824C" w14:textId="438B71E7" w:rsidR="00E63FF2" w:rsidRDefault="00E63FF2" w:rsidP="00E63FF2">
      <w:pPr>
        <w:spacing w:after="0" w:line="240" w:lineRule="auto"/>
        <w:rPr>
          <w:rFonts w:ascii="Times New Roman" w:eastAsia="Times New Roman" w:hAnsi="Times New Roman" w:cs="Times New Roman"/>
          <w:sz w:val="24"/>
          <w:szCs w:val="24"/>
        </w:rPr>
      </w:pPr>
    </w:p>
    <w:p w14:paraId="579D9205" w14:textId="52F7A142" w:rsidR="00E63FF2" w:rsidRDefault="00E63FF2" w:rsidP="00E63FF2">
      <w:pPr>
        <w:spacing w:after="0" w:line="240" w:lineRule="auto"/>
        <w:rPr>
          <w:rFonts w:ascii="Times New Roman" w:eastAsia="Times New Roman" w:hAnsi="Times New Roman" w:cs="Times New Roman"/>
          <w:sz w:val="24"/>
          <w:szCs w:val="24"/>
        </w:rPr>
      </w:pPr>
    </w:p>
    <w:p w14:paraId="00F239D8" w14:textId="4C53438B" w:rsidR="00E63FF2" w:rsidRDefault="00E63FF2" w:rsidP="00E63FF2">
      <w:pPr>
        <w:spacing w:after="0" w:line="240" w:lineRule="auto"/>
        <w:rPr>
          <w:rFonts w:ascii="Times New Roman" w:eastAsia="Times New Roman" w:hAnsi="Times New Roman" w:cs="Times New Roman"/>
          <w:sz w:val="24"/>
          <w:szCs w:val="24"/>
        </w:rPr>
      </w:pPr>
      <w:r w:rsidRPr="00E63FF2">
        <w:rPr>
          <w:rFonts w:ascii="Times New Roman" w:eastAsia="Times New Roman" w:hAnsi="Times New Roman" w:cs="Times New Roman"/>
          <w:b/>
          <w:sz w:val="24"/>
          <w:szCs w:val="24"/>
        </w:rPr>
        <w:t>PUBLIC PURPOSE</w:t>
      </w:r>
      <w:r>
        <w:rPr>
          <w:rFonts w:ascii="Times New Roman" w:eastAsia="Times New Roman" w:hAnsi="Times New Roman" w:cs="Times New Roman"/>
          <w:sz w:val="24"/>
          <w:szCs w:val="24"/>
        </w:rPr>
        <w:t xml:space="preserve"> REQUIREMENT:</w:t>
      </w:r>
      <w:r>
        <w:rPr>
          <w:rFonts w:ascii="Times New Roman" w:eastAsia="Times New Roman" w:hAnsi="Times New Roman" w:cs="Times New Roman"/>
          <w:sz w:val="24"/>
          <w:szCs w:val="24"/>
        </w:rPr>
        <w:br/>
      </w:r>
    </w:p>
    <w:p w14:paraId="04044960" w14:textId="39BC7355" w:rsidR="00E63FF2" w:rsidRDefault="00E63FF2" w:rsidP="00E63FF2">
      <w:pPr>
        <w:spacing w:after="0" w:line="240" w:lineRule="auto"/>
        <w:rPr>
          <w:rFonts w:ascii="Times New Roman" w:eastAsia="Times New Roman" w:hAnsi="Times New Roman" w:cs="Times New Roman"/>
          <w:sz w:val="24"/>
          <w:szCs w:val="24"/>
        </w:rPr>
      </w:pPr>
      <w:bookmarkStart w:id="1" w:name="A8S02"/>
      <w:r>
        <w:rPr>
          <w:rFonts w:ascii="Times New Roman" w:eastAsia="Times New Roman" w:hAnsi="Times New Roman" w:cs="Times New Roman"/>
          <w:sz w:val="24"/>
          <w:szCs w:val="24"/>
        </w:rPr>
        <w:t>Chapter VIII, section 1 (counties):</w:t>
      </w:r>
    </w:p>
    <w:p w14:paraId="4CE77FF2" w14:textId="77777777" w:rsidR="00E63FF2" w:rsidRPr="00E63FF2" w:rsidRDefault="00E63FF2" w:rsidP="00E63FF2">
      <w:pPr>
        <w:spacing w:after="0" w:line="240" w:lineRule="auto"/>
        <w:rPr>
          <w:rFonts w:ascii="Times New Roman" w:eastAsia="Times New Roman" w:hAnsi="Times New Roman" w:cs="Times New Roman"/>
          <w:sz w:val="24"/>
          <w:szCs w:val="24"/>
        </w:rPr>
      </w:pPr>
      <w:r w:rsidRPr="00E63FF2">
        <w:rPr>
          <w:rFonts w:ascii="Times New Roman" w:eastAsia="Times New Roman" w:hAnsi="Times New Roman" w:cs="Times New Roman"/>
          <w:sz w:val="24"/>
          <w:szCs w:val="24"/>
        </w:rPr>
        <w:t>(f)</w:t>
      </w:r>
      <w:r w:rsidRPr="00E63FF2">
        <w:rPr>
          <w:rFonts w:ascii="Times New Roman" w:eastAsia="Times New Roman" w:hAnsi="Times New Roman" w:cs="Times New Roman"/>
          <w:sz w:val="24"/>
          <w:szCs w:val="24"/>
        </w:rPr>
        <w:t> </w:t>
      </w:r>
      <w:r w:rsidRPr="00E63FF2">
        <w:rPr>
          <w:rFonts w:ascii="Times New Roman" w:eastAsia="Times New Roman" w:hAnsi="Times New Roman" w:cs="Times New Roman"/>
          <w:sz w:val="24"/>
          <w:szCs w:val="24"/>
        </w:rPr>
        <w:t>NON-CHARTER GOVERNMENT.</w:t>
      </w:r>
      <w:r w:rsidRPr="00E63FF2">
        <w:rPr>
          <w:rFonts w:ascii="Times New Roman" w:eastAsia="Times New Roman" w:hAnsi="Times New Roman" w:cs="Times New Roman"/>
          <w:sz w:val="24"/>
          <w:szCs w:val="24"/>
        </w:rPr>
        <w:t> </w:t>
      </w:r>
      <w:r w:rsidRPr="00E63FF2">
        <w:rPr>
          <w:rFonts w:ascii="Times New Roman" w:eastAsia="Times New Roman" w:hAnsi="Times New Roman" w:cs="Times New Roman"/>
          <w:sz w:val="24"/>
          <w:szCs w:val="24"/>
        </w:rPr>
        <w:t>Counties not operating under county charters shall have such power of self-government as is provided by general or special law. The board of county commissioners of a county not operating under a charter may enact, in a manner prescribed by general law, county ordinances not inconsistent with general or special law, but an ordinance in conflict with a municipal ordinance shall not be effective within the municipality to the extent of such conflict.</w:t>
      </w:r>
    </w:p>
    <w:p w14:paraId="68245116" w14:textId="77777777" w:rsidR="00E63FF2" w:rsidRPr="00E63FF2" w:rsidRDefault="00E63FF2" w:rsidP="00E63FF2">
      <w:pPr>
        <w:spacing w:after="0" w:line="240" w:lineRule="auto"/>
        <w:rPr>
          <w:rFonts w:ascii="Times New Roman" w:eastAsia="Times New Roman" w:hAnsi="Times New Roman" w:cs="Times New Roman"/>
          <w:sz w:val="24"/>
          <w:szCs w:val="24"/>
        </w:rPr>
      </w:pPr>
      <w:r w:rsidRPr="00E63FF2">
        <w:rPr>
          <w:rFonts w:ascii="Times New Roman" w:eastAsia="Times New Roman" w:hAnsi="Times New Roman" w:cs="Times New Roman"/>
          <w:sz w:val="24"/>
          <w:szCs w:val="24"/>
        </w:rPr>
        <w:t>(g)</w:t>
      </w:r>
      <w:r w:rsidRPr="00E63FF2">
        <w:rPr>
          <w:rFonts w:ascii="Times New Roman" w:eastAsia="Times New Roman" w:hAnsi="Times New Roman" w:cs="Times New Roman"/>
          <w:sz w:val="24"/>
          <w:szCs w:val="24"/>
        </w:rPr>
        <w:t> </w:t>
      </w:r>
      <w:r w:rsidRPr="00E63FF2">
        <w:rPr>
          <w:rFonts w:ascii="Times New Roman" w:eastAsia="Times New Roman" w:hAnsi="Times New Roman" w:cs="Times New Roman"/>
          <w:sz w:val="24"/>
          <w:szCs w:val="24"/>
        </w:rPr>
        <w:t>CHARTER GOVERNMENT.</w:t>
      </w:r>
      <w:r w:rsidRPr="00E63FF2">
        <w:rPr>
          <w:rFonts w:ascii="Times New Roman" w:eastAsia="Times New Roman" w:hAnsi="Times New Roman" w:cs="Times New Roman"/>
          <w:sz w:val="24"/>
          <w:szCs w:val="24"/>
        </w:rPr>
        <w:t> </w:t>
      </w:r>
      <w:r w:rsidRPr="00E63FF2">
        <w:rPr>
          <w:rFonts w:ascii="Times New Roman" w:eastAsia="Times New Roman" w:hAnsi="Times New Roman" w:cs="Times New Roman"/>
          <w:sz w:val="24"/>
          <w:szCs w:val="24"/>
        </w:rPr>
        <w:t>Counties operating under county charters shall have all powers of local self-government not inconsistent with general law, or with special law approved by vote of the electors. The governing body of a county operating under a charter may enact county ordinances not inconsistent with general law. The charter shall provide which shall prevail in the event of conflict between county and municipal ordinances.</w:t>
      </w:r>
    </w:p>
    <w:p w14:paraId="52CABAF0" w14:textId="77777777" w:rsidR="00E63FF2" w:rsidRDefault="00E63FF2" w:rsidP="00E63FF2">
      <w:pPr>
        <w:spacing w:after="0" w:line="240" w:lineRule="auto"/>
        <w:rPr>
          <w:rFonts w:ascii="Times New Roman" w:eastAsia="Times New Roman" w:hAnsi="Times New Roman" w:cs="Times New Roman"/>
          <w:sz w:val="24"/>
          <w:szCs w:val="24"/>
        </w:rPr>
      </w:pPr>
    </w:p>
    <w:p w14:paraId="41CAF99E" w14:textId="77777777" w:rsidR="00E63FF2" w:rsidRDefault="00E63FF2" w:rsidP="00E63FF2">
      <w:pPr>
        <w:spacing w:after="0" w:line="240" w:lineRule="auto"/>
        <w:rPr>
          <w:rFonts w:ascii="Times New Roman" w:eastAsia="Times New Roman" w:hAnsi="Times New Roman" w:cs="Times New Roman"/>
          <w:sz w:val="24"/>
          <w:szCs w:val="24"/>
        </w:rPr>
      </w:pPr>
    </w:p>
    <w:p w14:paraId="65B0C995" w14:textId="337F9D86" w:rsidR="00E63FF2" w:rsidRPr="00E63FF2" w:rsidRDefault="00E63FF2" w:rsidP="00E63FF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Chapter VIII, S</w:t>
      </w:r>
      <w:r w:rsidRPr="00E63FF2">
        <w:rPr>
          <w:rFonts w:ascii="Times New Roman" w:eastAsia="Times New Roman" w:hAnsi="Times New Roman" w:cs="Times New Roman"/>
          <w:sz w:val="24"/>
          <w:szCs w:val="24"/>
        </w:rPr>
        <w:t>ECTION 2.</w:t>
      </w:r>
      <w:bookmarkEnd w:id="1"/>
      <w:r w:rsidRPr="00E63FF2">
        <w:rPr>
          <w:rFonts w:ascii="Times New Roman" w:eastAsia="Times New Roman" w:hAnsi="Times New Roman" w:cs="Times New Roman"/>
          <w:sz w:val="24"/>
          <w:szCs w:val="24"/>
        </w:rPr>
        <w:t> </w:t>
      </w:r>
      <w:proofErr w:type="gramStart"/>
      <w:r w:rsidRPr="00E63FF2">
        <w:rPr>
          <w:rFonts w:ascii="Times New Roman" w:eastAsia="Times New Roman" w:hAnsi="Times New Roman" w:cs="Times New Roman"/>
          <w:sz w:val="24"/>
          <w:szCs w:val="24"/>
        </w:rPr>
        <w:t>Municipalities.—</w:t>
      </w:r>
      <w:proofErr w:type="gramEnd"/>
    </w:p>
    <w:p w14:paraId="4A324121" w14:textId="77777777" w:rsidR="00E63FF2" w:rsidRPr="00E63FF2" w:rsidRDefault="00E63FF2" w:rsidP="00E63FF2">
      <w:pPr>
        <w:spacing w:after="0" w:line="240" w:lineRule="auto"/>
        <w:rPr>
          <w:rFonts w:ascii="Times New Roman" w:eastAsia="Times New Roman" w:hAnsi="Times New Roman" w:cs="Times New Roman"/>
          <w:sz w:val="24"/>
          <w:szCs w:val="24"/>
        </w:rPr>
      </w:pPr>
      <w:r w:rsidRPr="00E63FF2">
        <w:rPr>
          <w:rFonts w:ascii="Times New Roman" w:eastAsia="Times New Roman" w:hAnsi="Times New Roman" w:cs="Times New Roman"/>
          <w:sz w:val="24"/>
          <w:szCs w:val="24"/>
        </w:rPr>
        <w:t>(a)</w:t>
      </w:r>
      <w:r w:rsidRPr="00E63FF2">
        <w:rPr>
          <w:rFonts w:ascii="Times New Roman" w:eastAsia="Times New Roman" w:hAnsi="Times New Roman" w:cs="Times New Roman"/>
          <w:sz w:val="24"/>
          <w:szCs w:val="24"/>
        </w:rPr>
        <w:t> </w:t>
      </w:r>
      <w:r w:rsidRPr="00E63FF2">
        <w:rPr>
          <w:rFonts w:ascii="Times New Roman" w:eastAsia="Times New Roman" w:hAnsi="Times New Roman" w:cs="Times New Roman"/>
          <w:sz w:val="24"/>
          <w:szCs w:val="24"/>
        </w:rPr>
        <w:t>ESTABLISHMENT.</w:t>
      </w:r>
      <w:r w:rsidRPr="00E63FF2">
        <w:rPr>
          <w:rFonts w:ascii="Times New Roman" w:eastAsia="Times New Roman" w:hAnsi="Times New Roman" w:cs="Times New Roman"/>
          <w:sz w:val="24"/>
          <w:szCs w:val="24"/>
        </w:rPr>
        <w:t> </w:t>
      </w:r>
      <w:r w:rsidRPr="00E63FF2">
        <w:rPr>
          <w:rFonts w:ascii="Times New Roman" w:eastAsia="Times New Roman" w:hAnsi="Times New Roman" w:cs="Times New Roman"/>
          <w:sz w:val="24"/>
          <w:szCs w:val="24"/>
        </w:rPr>
        <w:t xml:space="preserve">Municipalities may be established or </w:t>
      </w:r>
      <w:proofErr w:type="gramStart"/>
      <w:r w:rsidRPr="00E63FF2">
        <w:rPr>
          <w:rFonts w:ascii="Times New Roman" w:eastAsia="Times New Roman" w:hAnsi="Times New Roman" w:cs="Times New Roman"/>
          <w:sz w:val="24"/>
          <w:szCs w:val="24"/>
        </w:rPr>
        <w:t>abolished</w:t>
      </w:r>
      <w:proofErr w:type="gramEnd"/>
      <w:r w:rsidRPr="00E63FF2">
        <w:rPr>
          <w:rFonts w:ascii="Times New Roman" w:eastAsia="Times New Roman" w:hAnsi="Times New Roman" w:cs="Times New Roman"/>
          <w:sz w:val="24"/>
          <w:szCs w:val="24"/>
        </w:rPr>
        <w:t xml:space="preserve"> and their charters amended pursuant to general or special law. When any municipality is abolished, provision shall be made for the protection of its creditors.</w:t>
      </w:r>
    </w:p>
    <w:p w14:paraId="04F96D54" w14:textId="77777777" w:rsidR="00E63FF2" w:rsidRPr="00E63FF2" w:rsidRDefault="00E63FF2" w:rsidP="00E63FF2">
      <w:pPr>
        <w:spacing w:after="0" w:line="240" w:lineRule="auto"/>
        <w:rPr>
          <w:rFonts w:ascii="Times New Roman" w:eastAsia="Times New Roman" w:hAnsi="Times New Roman" w:cs="Times New Roman"/>
          <w:sz w:val="24"/>
          <w:szCs w:val="24"/>
        </w:rPr>
      </w:pPr>
      <w:r w:rsidRPr="00E63FF2">
        <w:rPr>
          <w:rFonts w:ascii="Times New Roman" w:eastAsia="Times New Roman" w:hAnsi="Times New Roman" w:cs="Times New Roman"/>
          <w:sz w:val="24"/>
          <w:szCs w:val="24"/>
        </w:rPr>
        <w:t>(b)</w:t>
      </w:r>
      <w:r w:rsidRPr="00E63FF2">
        <w:rPr>
          <w:rFonts w:ascii="Times New Roman" w:eastAsia="Times New Roman" w:hAnsi="Times New Roman" w:cs="Times New Roman"/>
          <w:sz w:val="24"/>
          <w:szCs w:val="24"/>
        </w:rPr>
        <w:t> </w:t>
      </w:r>
      <w:r w:rsidRPr="00E63FF2">
        <w:rPr>
          <w:rFonts w:ascii="Times New Roman" w:eastAsia="Times New Roman" w:hAnsi="Times New Roman" w:cs="Times New Roman"/>
          <w:sz w:val="24"/>
          <w:szCs w:val="24"/>
        </w:rPr>
        <w:t>POWERS.</w:t>
      </w:r>
      <w:r w:rsidRPr="00E63FF2">
        <w:rPr>
          <w:rFonts w:ascii="Times New Roman" w:eastAsia="Times New Roman" w:hAnsi="Times New Roman" w:cs="Times New Roman"/>
          <w:sz w:val="24"/>
          <w:szCs w:val="24"/>
        </w:rPr>
        <w:t> </w:t>
      </w:r>
      <w:r w:rsidRPr="00E63FF2">
        <w:rPr>
          <w:rFonts w:ascii="Times New Roman" w:eastAsia="Times New Roman" w:hAnsi="Times New Roman" w:cs="Times New Roman"/>
          <w:sz w:val="24"/>
          <w:szCs w:val="24"/>
          <w:highlight w:val="yellow"/>
        </w:rPr>
        <w:t>Municipalities shall have governmental, corporate and proprietary powers to enable them to conduct municipal government, perform municipal functions and render municipal services, and may exercise any power for municipal purposes except as otherwise provided by law. Each municipal legislative body shall be elective.</w:t>
      </w:r>
    </w:p>
    <w:p w14:paraId="6FE3D6ED" w14:textId="0DA1558E" w:rsidR="00E63FF2" w:rsidRDefault="00E63FF2" w:rsidP="00E63FF2">
      <w:pPr>
        <w:spacing w:after="0" w:line="240" w:lineRule="auto"/>
        <w:rPr>
          <w:rFonts w:ascii="Times New Roman" w:eastAsia="Times New Roman" w:hAnsi="Times New Roman" w:cs="Times New Roman"/>
          <w:sz w:val="24"/>
          <w:szCs w:val="24"/>
        </w:rPr>
      </w:pPr>
      <w:r w:rsidRPr="00E63FF2">
        <w:rPr>
          <w:rFonts w:ascii="Times New Roman" w:eastAsia="Times New Roman" w:hAnsi="Times New Roman" w:cs="Times New Roman"/>
          <w:sz w:val="24"/>
          <w:szCs w:val="24"/>
        </w:rPr>
        <w:t>(c)</w:t>
      </w:r>
      <w:r w:rsidRPr="00E63FF2">
        <w:rPr>
          <w:rFonts w:ascii="Times New Roman" w:eastAsia="Times New Roman" w:hAnsi="Times New Roman" w:cs="Times New Roman"/>
          <w:sz w:val="24"/>
          <w:szCs w:val="24"/>
        </w:rPr>
        <w:t> </w:t>
      </w:r>
      <w:r w:rsidRPr="00E63FF2">
        <w:rPr>
          <w:rFonts w:ascii="Times New Roman" w:eastAsia="Times New Roman" w:hAnsi="Times New Roman" w:cs="Times New Roman"/>
          <w:sz w:val="24"/>
          <w:szCs w:val="24"/>
        </w:rPr>
        <w:t>ANNEXATION.</w:t>
      </w:r>
      <w:r w:rsidRPr="00E63FF2">
        <w:rPr>
          <w:rFonts w:ascii="Times New Roman" w:eastAsia="Times New Roman" w:hAnsi="Times New Roman" w:cs="Times New Roman"/>
          <w:sz w:val="24"/>
          <w:szCs w:val="24"/>
        </w:rPr>
        <w:t> </w:t>
      </w:r>
      <w:r w:rsidRPr="00E63FF2">
        <w:rPr>
          <w:rFonts w:ascii="Times New Roman" w:eastAsia="Times New Roman" w:hAnsi="Times New Roman" w:cs="Times New Roman"/>
          <w:sz w:val="24"/>
          <w:szCs w:val="24"/>
        </w:rPr>
        <w:t>Municipal annexation of unincorporated territory, merger of municipalities, and exercise of extra-territorial powers by municipalities shall be as provided by general or special law.</w:t>
      </w:r>
    </w:p>
    <w:p w14:paraId="015BDB9E" w14:textId="3C04E443" w:rsidR="00E63FF2" w:rsidRDefault="00E63FF2" w:rsidP="00E63FF2">
      <w:pPr>
        <w:spacing w:after="0" w:line="240" w:lineRule="auto"/>
        <w:rPr>
          <w:rFonts w:ascii="Times New Roman" w:eastAsia="Times New Roman" w:hAnsi="Times New Roman" w:cs="Times New Roman"/>
          <w:sz w:val="24"/>
          <w:szCs w:val="24"/>
        </w:rPr>
      </w:pPr>
    </w:p>
    <w:p w14:paraId="22B5AA18" w14:textId="2E4B3229" w:rsidR="00E63FF2" w:rsidRDefault="00E63FF2" w:rsidP="00E63FF2">
      <w:pPr>
        <w:spacing w:after="0" w:line="240" w:lineRule="auto"/>
        <w:rPr>
          <w:rFonts w:ascii="Times New Roman" w:eastAsia="Times New Roman" w:hAnsi="Times New Roman" w:cs="Times New Roman"/>
          <w:sz w:val="24"/>
          <w:szCs w:val="24"/>
        </w:rPr>
      </w:pPr>
    </w:p>
    <w:p w14:paraId="15D027C3" w14:textId="7BE67D6D" w:rsidR="00E63FF2" w:rsidRDefault="0073621D" w:rsidP="00E63FF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NO LENDING OF CREDIT</w:t>
      </w:r>
    </w:p>
    <w:p w14:paraId="5466B881" w14:textId="03C11B16" w:rsidR="0073621D" w:rsidRDefault="0073621D" w:rsidP="00E63FF2">
      <w:pPr>
        <w:spacing w:after="0" w:line="240" w:lineRule="auto"/>
        <w:rPr>
          <w:rFonts w:ascii="Times New Roman" w:eastAsia="Times New Roman" w:hAnsi="Times New Roman" w:cs="Times New Roman"/>
          <w:sz w:val="24"/>
          <w:szCs w:val="24"/>
        </w:rPr>
      </w:pPr>
    </w:p>
    <w:p w14:paraId="00ECA89E" w14:textId="0BE38772" w:rsidR="0073621D" w:rsidRPr="0073621D" w:rsidRDefault="0073621D" w:rsidP="0073621D">
      <w:pPr>
        <w:spacing w:after="0" w:line="240" w:lineRule="auto"/>
        <w:rPr>
          <w:rFonts w:ascii="Times New Roman" w:eastAsia="Times New Roman" w:hAnsi="Times New Roman" w:cs="Times New Roman"/>
          <w:sz w:val="24"/>
          <w:szCs w:val="24"/>
        </w:rPr>
      </w:pPr>
      <w:bookmarkStart w:id="2" w:name="A7S10"/>
      <w:r>
        <w:rPr>
          <w:rFonts w:ascii="Times New Roman" w:eastAsia="Times New Roman" w:hAnsi="Times New Roman" w:cs="Times New Roman"/>
          <w:sz w:val="24"/>
          <w:szCs w:val="24"/>
        </w:rPr>
        <w:t xml:space="preserve">Article VII, </w:t>
      </w:r>
      <w:r w:rsidRPr="0073621D">
        <w:rPr>
          <w:rFonts w:ascii="Times New Roman" w:eastAsia="Times New Roman" w:hAnsi="Times New Roman" w:cs="Times New Roman"/>
          <w:sz w:val="24"/>
          <w:szCs w:val="24"/>
        </w:rPr>
        <w:t>SECTION 10.</w:t>
      </w:r>
      <w:bookmarkEnd w:id="2"/>
      <w:r w:rsidRPr="0073621D">
        <w:rPr>
          <w:rFonts w:ascii="Times New Roman" w:eastAsia="Times New Roman" w:hAnsi="Times New Roman" w:cs="Times New Roman"/>
          <w:sz w:val="24"/>
          <w:szCs w:val="24"/>
        </w:rPr>
        <w:t> </w:t>
      </w:r>
      <w:r w:rsidRPr="0073621D">
        <w:rPr>
          <w:rFonts w:ascii="Times New Roman" w:eastAsia="Times New Roman" w:hAnsi="Times New Roman" w:cs="Times New Roman"/>
          <w:sz w:val="24"/>
          <w:szCs w:val="24"/>
        </w:rPr>
        <w:t>Pledging credit.—Neither the state nor any county, school district, municipality, special district, or agency of any of them, shall become a joint owner with, or stockholder of, or give, lend or use its taxing power or credit to aid any corporation, association, partnership or person; but this shall not prohibit laws authorizing:</w:t>
      </w:r>
    </w:p>
    <w:p w14:paraId="120D75D7" w14:textId="77777777" w:rsidR="0073621D" w:rsidRPr="0073621D" w:rsidRDefault="0073621D" w:rsidP="0073621D">
      <w:pPr>
        <w:spacing w:after="0" w:line="240" w:lineRule="auto"/>
        <w:rPr>
          <w:rFonts w:ascii="Times New Roman" w:eastAsia="Times New Roman" w:hAnsi="Times New Roman" w:cs="Times New Roman"/>
          <w:sz w:val="24"/>
          <w:szCs w:val="24"/>
        </w:rPr>
      </w:pPr>
      <w:r w:rsidRPr="0073621D">
        <w:rPr>
          <w:rFonts w:ascii="Times New Roman" w:eastAsia="Times New Roman" w:hAnsi="Times New Roman" w:cs="Times New Roman"/>
          <w:sz w:val="24"/>
          <w:szCs w:val="24"/>
        </w:rPr>
        <w:t>(a)</w:t>
      </w:r>
      <w:r w:rsidRPr="0073621D">
        <w:rPr>
          <w:rFonts w:ascii="Times New Roman" w:eastAsia="Times New Roman" w:hAnsi="Times New Roman" w:cs="Times New Roman"/>
          <w:sz w:val="24"/>
          <w:szCs w:val="24"/>
        </w:rPr>
        <w:t> </w:t>
      </w:r>
      <w:r w:rsidRPr="0073621D">
        <w:rPr>
          <w:rFonts w:ascii="Times New Roman" w:eastAsia="Times New Roman" w:hAnsi="Times New Roman" w:cs="Times New Roman"/>
          <w:sz w:val="24"/>
          <w:szCs w:val="24"/>
        </w:rPr>
        <w:t>the investment of public trust funds;</w:t>
      </w:r>
    </w:p>
    <w:p w14:paraId="296E74AD" w14:textId="77777777" w:rsidR="0073621D" w:rsidRPr="0073621D" w:rsidRDefault="0073621D" w:rsidP="0073621D">
      <w:pPr>
        <w:spacing w:after="0" w:line="240" w:lineRule="auto"/>
        <w:rPr>
          <w:rFonts w:ascii="Times New Roman" w:eastAsia="Times New Roman" w:hAnsi="Times New Roman" w:cs="Times New Roman"/>
          <w:sz w:val="24"/>
          <w:szCs w:val="24"/>
        </w:rPr>
      </w:pPr>
      <w:r w:rsidRPr="0073621D">
        <w:rPr>
          <w:rFonts w:ascii="Times New Roman" w:eastAsia="Times New Roman" w:hAnsi="Times New Roman" w:cs="Times New Roman"/>
          <w:sz w:val="24"/>
          <w:szCs w:val="24"/>
        </w:rPr>
        <w:t>(b)</w:t>
      </w:r>
      <w:r w:rsidRPr="0073621D">
        <w:rPr>
          <w:rFonts w:ascii="Times New Roman" w:eastAsia="Times New Roman" w:hAnsi="Times New Roman" w:cs="Times New Roman"/>
          <w:sz w:val="24"/>
          <w:szCs w:val="24"/>
        </w:rPr>
        <w:t> </w:t>
      </w:r>
      <w:r w:rsidRPr="0073621D">
        <w:rPr>
          <w:rFonts w:ascii="Times New Roman" w:eastAsia="Times New Roman" w:hAnsi="Times New Roman" w:cs="Times New Roman"/>
          <w:sz w:val="24"/>
          <w:szCs w:val="24"/>
        </w:rPr>
        <w:t>the investment of other public funds in obligations of, or insured by, the United States or any of its instrumentalities;</w:t>
      </w:r>
    </w:p>
    <w:p w14:paraId="0D7EDF57" w14:textId="77777777" w:rsidR="0073621D" w:rsidRPr="0073621D" w:rsidRDefault="0073621D" w:rsidP="0073621D">
      <w:pPr>
        <w:spacing w:after="0" w:line="240" w:lineRule="auto"/>
        <w:rPr>
          <w:rFonts w:ascii="Times New Roman" w:eastAsia="Times New Roman" w:hAnsi="Times New Roman" w:cs="Times New Roman"/>
          <w:sz w:val="24"/>
          <w:szCs w:val="24"/>
        </w:rPr>
      </w:pPr>
      <w:r w:rsidRPr="0073621D">
        <w:rPr>
          <w:rFonts w:ascii="Times New Roman" w:eastAsia="Times New Roman" w:hAnsi="Times New Roman" w:cs="Times New Roman"/>
          <w:sz w:val="24"/>
          <w:szCs w:val="24"/>
        </w:rPr>
        <w:t>(c)</w:t>
      </w:r>
      <w:r w:rsidRPr="0073621D">
        <w:rPr>
          <w:rFonts w:ascii="Times New Roman" w:eastAsia="Times New Roman" w:hAnsi="Times New Roman" w:cs="Times New Roman"/>
          <w:sz w:val="24"/>
          <w:szCs w:val="24"/>
        </w:rPr>
        <w:t> </w:t>
      </w:r>
      <w:r w:rsidRPr="0073621D">
        <w:rPr>
          <w:rFonts w:ascii="Times New Roman" w:eastAsia="Times New Roman" w:hAnsi="Times New Roman" w:cs="Times New Roman"/>
          <w:sz w:val="24"/>
          <w:szCs w:val="24"/>
        </w:rPr>
        <w:t xml:space="preserve">the issuance and sale by any county, municipality, special district or other local governmental body of (1) revenue bonds to finance or refinance the cost of capital projects for airports or port facilities, or (2) revenue bonds to finance or refinance the cost of capital projects for industrial or manufacturing plants to the extent that the interest thereon is exempt from income taxes under the then existing laws of the United States, when, in either case, the revenue bonds are payable solely from revenue derived from the sale, operation or leasing of the projects. If any project so financed, or any part thereof, is occupied or operated by any private corporation, association, partnership or person pursuant to contract or lease with the issuing body, the property interest created by such contract or lease shall be subject to taxation to the same extent as other </w:t>
      </w:r>
      <w:proofErr w:type="gramStart"/>
      <w:r w:rsidRPr="0073621D">
        <w:rPr>
          <w:rFonts w:ascii="Times New Roman" w:eastAsia="Times New Roman" w:hAnsi="Times New Roman" w:cs="Times New Roman"/>
          <w:sz w:val="24"/>
          <w:szCs w:val="24"/>
        </w:rPr>
        <w:t>privately owned</w:t>
      </w:r>
      <w:proofErr w:type="gramEnd"/>
      <w:r w:rsidRPr="0073621D">
        <w:rPr>
          <w:rFonts w:ascii="Times New Roman" w:eastAsia="Times New Roman" w:hAnsi="Times New Roman" w:cs="Times New Roman"/>
          <w:sz w:val="24"/>
          <w:szCs w:val="24"/>
        </w:rPr>
        <w:t xml:space="preserve"> property.</w:t>
      </w:r>
    </w:p>
    <w:p w14:paraId="574AB733" w14:textId="32CFD34B" w:rsidR="0073621D" w:rsidRDefault="0073621D" w:rsidP="0073621D">
      <w:pPr>
        <w:spacing w:after="0" w:line="240" w:lineRule="auto"/>
        <w:rPr>
          <w:rFonts w:ascii="Times New Roman" w:eastAsia="Times New Roman" w:hAnsi="Times New Roman" w:cs="Times New Roman"/>
          <w:sz w:val="24"/>
          <w:szCs w:val="24"/>
        </w:rPr>
      </w:pPr>
      <w:r w:rsidRPr="0073621D">
        <w:rPr>
          <w:rFonts w:ascii="Times New Roman" w:eastAsia="Times New Roman" w:hAnsi="Times New Roman" w:cs="Times New Roman"/>
          <w:sz w:val="24"/>
          <w:szCs w:val="24"/>
        </w:rPr>
        <w:t>(d)</w:t>
      </w:r>
      <w:r w:rsidRPr="0073621D">
        <w:rPr>
          <w:rFonts w:ascii="Times New Roman" w:eastAsia="Times New Roman" w:hAnsi="Times New Roman" w:cs="Times New Roman"/>
          <w:sz w:val="24"/>
          <w:szCs w:val="24"/>
        </w:rPr>
        <w:t> </w:t>
      </w:r>
      <w:r w:rsidRPr="0073621D">
        <w:rPr>
          <w:rFonts w:ascii="Times New Roman" w:eastAsia="Times New Roman" w:hAnsi="Times New Roman" w:cs="Times New Roman"/>
          <w:sz w:val="24"/>
          <w:szCs w:val="24"/>
        </w:rPr>
        <w:t>a municipality, county, special district, or agency of any of them, being a joint owner of, giving, or lending or using its taxing power or credit for the joint ownership, construction and operation of electrical energy generating or transmission facilities with any corporation, association, partnership or person.</w:t>
      </w:r>
    </w:p>
    <w:p w14:paraId="69E9A488" w14:textId="4359EFC4" w:rsidR="0073621D" w:rsidRDefault="0073621D" w:rsidP="0073621D">
      <w:pPr>
        <w:spacing w:after="0" w:line="240" w:lineRule="auto"/>
        <w:rPr>
          <w:rFonts w:ascii="Times New Roman" w:eastAsia="Times New Roman" w:hAnsi="Times New Roman" w:cs="Times New Roman"/>
          <w:sz w:val="24"/>
          <w:szCs w:val="24"/>
        </w:rPr>
      </w:pPr>
    </w:p>
    <w:p w14:paraId="6C4FFD6E" w14:textId="53BA4CE3" w:rsidR="0073621D" w:rsidRDefault="0073621D" w:rsidP="0073621D">
      <w:pPr>
        <w:spacing w:after="0" w:line="240" w:lineRule="auto"/>
        <w:rPr>
          <w:rFonts w:ascii="Times New Roman" w:eastAsia="Times New Roman" w:hAnsi="Times New Roman" w:cs="Times New Roman"/>
          <w:sz w:val="24"/>
          <w:szCs w:val="24"/>
        </w:rPr>
      </w:pPr>
    </w:p>
    <w:p w14:paraId="2D2477E8" w14:textId="7DB9C5E1" w:rsidR="0073621D" w:rsidRDefault="0073621D" w:rsidP="0073621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Extraterritorial Powers</w:t>
      </w:r>
    </w:p>
    <w:p w14:paraId="5AE9517B" w14:textId="15EA5982" w:rsidR="0073621D" w:rsidRDefault="0073621D" w:rsidP="0073621D">
      <w:pPr>
        <w:pStyle w:val="ListParagraph"/>
        <w:numPr>
          <w:ilvl w:val="0"/>
          <w:numId w:val="3"/>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Municipality is authorized by Chapter 180, FS, to extend utility services outside corporate limits of a municipality.  </w:t>
      </w:r>
    </w:p>
    <w:p w14:paraId="5A788B58" w14:textId="5362B494" w:rsidR="003C1B2C" w:rsidRDefault="003C1B2C" w:rsidP="003C1B2C">
      <w:pPr>
        <w:spacing w:after="0" w:line="240" w:lineRule="auto"/>
        <w:rPr>
          <w:rFonts w:ascii="Times New Roman" w:eastAsia="Times New Roman" w:hAnsi="Times New Roman" w:cs="Times New Roman"/>
          <w:sz w:val="24"/>
          <w:szCs w:val="24"/>
        </w:rPr>
      </w:pPr>
    </w:p>
    <w:p w14:paraId="0CB66D55" w14:textId="760FE6A0" w:rsidR="003C1B2C" w:rsidRDefault="003C1B2C" w:rsidP="003C1B2C">
      <w:pPr>
        <w:spacing w:after="0" w:line="240" w:lineRule="auto"/>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Bond Validation</w:t>
      </w:r>
    </w:p>
    <w:p w14:paraId="5B0F6F9A" w14:textId="7A393AF0" w:rsidR="003C1B2C" w:rsidRDefault="003C1B2C" w:rsidP="003C1B2C">
      <w:pPr>
        <w:spacing w:after="0" w:line="240" w:lineRule="auto"/>
        <w:rPr>
          <w:rFonts w:ascii="Times New Roman" w:eastAsia="Times New Roman" w:hAnsi="Times New Roman" w:cs="Times New Roman"/>
          <w:sz w:val="24"/>
          <w:szCs w:val="24"/>
          <w:u w:val="single"/>
        </w:rPr>
      </w:pPr>
    </w:p>
    <w:p w14:paraId="6E54AC3C" w14:textId="77777777" w:rsidR="003C1B2C" w:rsidRPr="003C1B2C" w:rsidRDefault="003C1B2C" w:rsidP="003C1B2C">
      <w:pPr>
        <w:spacing w:after="0" w:line="240" w:lineRule="auto"/>
        <w:rPr>
          <w:rFonts w:ascii="Verdana" w:eastAsia="Times New Roman" w:hAnsi="Verdana" w:cs="Times New Roman"/>
          <w:sz w:val="20"/>
          <w:szCs w:val="20"/>
        </w:rPr>
      </w:pPr>
      <w:r w:rsidRPr="003C1B2C">
        <w:rPr>
          <w:rFonts w:ascii="Verdana" w:eastAsia="Times New Roman" w:hAnsi="Verdana" w:cs="Times New Roman"/>
          <w:sz w:val="20"/>
          <w:szCs w:val="20"/>
        </w:rPr>
        <w:t>CHAPTER 75</w:t>
      </w:r>
    </w:p>
    <w:p w14:paraId="41606804" w14:textId="77777777" w:rsidR="003C1B2C" w:rsidRPr="003C1B2C" w:rsidRDefault="003C1B2C" w:rsidP="003C1B2C">
      <w:pPr>
        <w:spacing w:after="0" w:line="240" w:lineRule="auto"/>
        <w:rPr>
          <w:rFonts w:ascii="Verdana" w:eastAsia="Times New Roman" w:hAnsi="Verdana" w:cs="Times New Roman"/>
          <w:sz w:val="20"/>
          <w:szCs w:val="20"/>
        </w:rPr>
      </w:pPr>
      <w:r w:rsidRPr="003C1B2C">
        <w:rPr>
          <w:rFonts w:ascii="Verdana" w:eastAsia="Times New Roman" w:hAnsi="Verdana" w:cs="Times New Roman"/>
          <w:sz w:val="20"/>
          <w:szCs w:val="20"/>
        </w:rPr>
        <w:t>BOND VALIDATION</w:t>
      </w:r>
    </w:p>
    <w:p w14:paraId="2A8342C9" w14:textId="77777777" w:rsidR="003C1B2C" w:rsidRPr="003C1B2C" w:rsidRDefault="003C1B2C" w:rsidP="003C1B2C">
      <w:pPr>
        <w:spacing w:after="0" w:line="240" w:lineRule="auto"/>
        <w:rPr>
          <w:rFonts w:ascii="Verdana" w:eastAsia="Times New Roman" w:hAnsi="Verdana" w:cs="Times New Roman"/>
          <w:sz w:val="20"/>
          <w:szCs w:val="20"/>
        </w:rPr>
      </w:pPr>
      <w:r w:rsidRPr="003C1B2C">
        <w:rPr>
          <w:rFonts w:ascii="Verdana" w:eastAsia="Times New Roman" w:hAnsi="Verdana" w:cs="Times New Roman"/>
          <w:sz w:val="20"/>
          <w:szCs w:val="20"/>
        </w:rPr>
        <w:t>75.01</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Jurisdiction.</w:t>
      </w:r>
    </w:p>
    <w:p w14:paraId="08A5F0FD" w14:textId="77777777" w:rsidR="003C1B2C" w:rsidRPr="003C1B2C" w:rsidRDefault="003C1B2C" w:rsidP="003C1B2C">
      <w:pPr>
        <w:spacing w:after="0" w:line="240" w:lineRule="auto"/>
        <w:rPr>
          <w:rFonts w:ascii="Verdana" w:eastAsia="Times New Roman" w:hAnsi="Verdana" w:cs="Times New Roman"/>
          <w:sz w:val="20"/>
          <w:szCs w:val="20"/>
        </w:rPr>
      </w:pPr>
      <w:r w:rsidRPr="003C1B2C">
        <w:rPr>
          <w:rFonts w:ascii="Verdana" w:eastAsia="Times New Roman" w:hAnsi="Verdana" w:cs="Times New Roman"/>
          <w:sz w:val="20"/>
          <w:szCs w:val="20"/>
        </w:rPr>
        <w:t>75.02</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Plaintiff.</w:t>
      </w:r>
    </w:p>
    <w:p w14:paraId="611AD6D3" w14:textId="77777777" w:rsidR="003C1B2C" w:rsidRPr="003C1B2C" w:rsidRDefault="003C1B2C" w:rsidP="003C1B2C">
      <w:pPr>
        <w:spacing w:after="0" w:line="240" w:lineRule="auto"/>
        <w:rPr>
          <w:rFonts w:ascii="Verdana" w:eastAsia="Times New Roman" w:hAnsi="Verdana" w:cs="Times New Roman"/>
          <w:sz w:val="20"/>
          <w:szCs w:val="20"/>
        </w:rPr>
      </w:pPr>
      <w:r w:rsidRPr="003C1B2C">
        <w:rPr>
          <w:rFonts w:ascii="Verdana" w:eastAsia="Times New Roman" w:hAnsi="Verdana" w:cs="Times New Roman"/>
          <w:sz w:val="20"/>
          <w:szCs w:val="20"/>
        </w:rPr>
        <w:t>75.03</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Condition precedent.</w:t>
      </w:r>
    </w:p>
    <w:p w14:paraId="5DB05057" w14:textId="77777777" w:rsidR="003C1B2C" w:rsidRPr="003C1B2C" w:rsidRDefault="003C1B2C" w:rsidP="003C1B2C">
      <w:pPr>
        <w:spacing w:after="0" w:line="240" w:lineRule="auto"/>
        <w:rPr>
          <w:rFonts w:ascii="Verdana" w:eastAsia="Times New Roman" w:hAnsi="Verdana" w:cs="Times New Roman"/>
          <w:sz w:val="20"/>
          <w:szCs w:val="20"/>
        </w:rPr>
      </w:pPr>
      <w:r w:rsidRPr="003C1B2C">
        <w:rPr>
          <w:rFonts w:ascii="Verdana" w:eastAsia="Times New Roman" w:hAnsi="Verdana" w:cs="Times New Roman"/>
          <w:sz w:val="20"/>
          <w:szCs w:val="20"/>
        </w:rPr>
        <w:t>75.04</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Complaint.</w:t>
      </w:r>
    </w:p>
    <w:p w14:paraId="500704D4" w14:textId="77777777" w:rsidR="003C1B2C" w:rsidRPr="003C1B2C" w:rsidRDefault="003C1B2C" w:rsidP="003C1B2C">
      <w:pPr>
        <w:spacing w:after="0" w:line="240" w:lineRule="auto"/>
        <w:rPr>
          <w:rFonts w:ascii="Verdana" w:eastAsia="Times New Roman" w:hAnsi="Verdana" w:cs="Times New Roman"/>
          <w:sz w:val="20"/>
          <w:szCs w:val="20"/>
        </w:rPr>
      </w:pPr>
      <w:r w:rsidRPr="003C1B2C">
        <w:rPr>
          <w:rFonts w:ascii="Verdana" w:eastAsia="Times New Roman" w:hAnsi="Verdana" w:cs="Times New Roman"/>
          <w:sz w:val="20"/>
          <w:szCs w:val="20"/>
        </w:rPr>
        <w:t>75.05</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Order and service.</w:t>
      </w:r>
    </w:p>
    <w:p w14:paraId="38511015" w14:textId="77777777" w:rsidR="003C1B2C" w:rsidRPr="003C1B2C" w:rsidRDefault="003C1B2C" w:rsidP="003C1B2C">
      <w:pPr>
        <w:spacing w:after="0" w:line="240" w:lineRule="auto"/>
        <w:rPr>
          <w:rFonts w:ascii="Verdana" w:eastAsia="Times New Roman" w:hAnsi="Verdana" w:cs="Times New Roman"/>
          <w:sz w:val="20"/>
          <w:szCs w:val="20"/>
        </w:rPr>
      </w:pPr>
      <w:r w:rsidRPr="003C1B2C">
        <w:rPr>
          <w:rFonts w:ascii="Verdana" w:eastAsia="Times New Roman" w:hAnsi="Verdana" w:cs="Times New Roman"/>
          <w:sz w:val="20"/>
          <w:szCs w:val="20"/>
        </w:rPr>
        <w:t>75.06</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Publication of notice.</w:t>
      </w:r>
    </w:p>
    <w:p w14:paraId="18E2D205" w14:textId="77777777" w:rsidR="003C1B2C" w:rsidRPr="003C1B2C" w:rsidRDefault="003C1B2C" w:rsidP="003C1B2C">
      <w:pPr>
        <w:spacing w:after="0" w:line="240" w:lineRule="auto"/>
        <w:rPr>
          <w:rFonts w:ascii="Verdana" w:eastAsia="Times New Roman" w:hAnsi="Verdana" w:cs="Times New Roman"/>
          <w:sz w:val="20"/>
          <w:szCs w:val="20"/>
        </w:rPr>
      </w:pPr>
      <w:r w:rsidRPr="003C1B2C">
        <w:rPr>
          <w:rFonts w:ascii="Verdana" w:eastAsia="Times New Roman" w:hAnsi="Verdana" w:cs="Times New Roman"/>
          <w:sz w:val="20"/>
          <w:szCs w:val="20"/>
        </w:rPr>
        <w:t>75.07</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Intervention; hearings.</w:t>
      </w:r>
    </w:p>
    <w:p w14:paraId="509FBBDE" w14:textId="77777777" w:rsidR="003C1B2C" w:rsidRPr="003C1B2C" w:rsidRDefault="003C1B2C" w:rsidP="003C1B2C">
      <w:pPr>
        <w:spacing w:after="0" w:line="240" w:lineRule="auto"/>
        <w:rPr>
          <w:rFonts w:ascii="Verdana" w:eastAsia="Times New Roman" w:hAnsi="Verdana" w:cs="Times New Roman"/>
          <w:sz w:val="20"/>
          <w:szCs w:val="20"/>
        </w:rPr>
      </w:pPr>
      <w:r w:rsidRPr="003C1B2C">
        <w:rPr>
          <w:rFonts w:ascii="Verdana" w:eastAsia="Times New Roman" w:hAnsi="Verdana" w:cs="Times New Roman"/>
          <w:sz w:val="20"/>
          <w:szCs w:val="20"/>
        </w:rPr>
        <w:t>75.08</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Appeal and review.</w:t>
      </w:r>
    </w:p>
    <w:p w14:paraId="1AF71A61" w14:textId="77777777" w:rsidR="003C1B2C" w:rsidRPr="003C1B2C" w:rsidRDefault="003C1B2C" w:rsidP="003C1B2C">
      <w:pPr>
        <w:spacing w:after="0" w:line="240" w:lineRule="auto"/>
        <w:rPr>
          <w:rFonts w:ascii="Verdana" w:eastAsia="Times New Roman" w:hAnsi="Verdana" w:cs="Times New Roman"/>
          <w:sz w:val="20"/>
          <w:szCs w:val="20"/>
        </w:rPr>
      </w:pPr>
      <w:r w:rsidRPr="003C1B2C">
        <w:rPr>
          <w:rFonts w:ascii="Verdana" w:eastAsia="Times New Roman" w:hAnsi="Verdana" w:cs="Times New Roman"/>
          <w:sz w:val="20"/>
          <w:szCs w:val="20"/>
        </w:rPr>
        <w:t>75.09</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Effect of final judgment.</w:t>
      </w:r>
    </w:p>
    <w:p w14:paraId="14BBAFD7" w14:textId="77777777" w:rsidR="003C1B2C" w:rsidRPr="003C1B2C" w:rsidRDefault="003C1B2C" w:rsidP="003C1B2C">
      <w:pPr>
        <w:spacing w:after="0" w:line="240" w:lineRule="auto"/>
        <w:rPr>
          <w:rFonts w:ascii="Verdana" w:eastAsia="Times New Roman" w:hAnsi="Verdana" w:cs="Times New Roman"/>
          <w:sz w:val="20"/>
          <w:szCs w:val="20"/>
        </w:rPr>
      </w:pPr>
      <w:r w:rsidRPr="003C1B2C">
        <w:rPr>
          <w:rFonts w:ascii="Verdana" w:eastAsia="Times New Roman" w:hAnsi="Verdana" w:cs="Times New Roman"/>
          <w:sz w:val="20"/>
          <w:szCs w:val="20"/>
        </w:rPr>
        <w:t>75.10</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Recording of judgment in other counties.</w:t>
      </w:r>
    </w:p>
    <w:p w14:paraId="7F559235" w14:textId="77777777" w:rsidR="003C1B2C" w:rsidRPr="003C1B2C" w:rsidRDefault="003C1B2C" w:rsidP="003C1B2C">
      <w:pPr>
        <w:spacing w:after="0" w:line="240" w:lineRule="auto"/>
        <w:rPr>
          <w:rFonts w:ascii="Verdana" w:eastAsia="Times New Roman" w:hAnsi="Verdana" w:cs="Times New Roman"/>
          <w:sz w:val="20"/>
          <w:szCs w:val="20"/>
        </w:rPr>
      </w:pPr>
      <w:r w:rsidRPr="003C1B2C">
        <w:rPr>
          <w:rFonts w:ascii="Verdana" w:eastAsia="Times New Roman" w:hAnsi="Verdana" w:cs="Times New Roman"/>
          <w:sz w:val="20"/>
          <w:szCs w:val="20"/>
        </w:rPr>
        <w:t>75.11</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Stamping instruments validated.</w:t>
      </w:r>
    </w:p>
    <w:p w14:paraId="10D709EC" w14:textId="77777777" w:rsidR="003C1B2C" w:rsidRPr="003C1B2C" w:rsidRDefault="003C1B2C" w:rsidP="003C1B2C">
      <w:pPr>
        <w:spacing w:after="0" w:line="240" w:lineRule="auto"/>
        <w:rPr>
          <w:rFonts w:ascii="Verdana" w:eastAsia="Times New Roman" w:hAnsi="Verdana" w:cs="Times New Roman"/>
          <w:sz w:val="20"/>
          <w:szCs w:val="20"/>
        </w:rPr>
      </w:pPr>
      <w:r w:rsidRPr="003C1B2C">
        <w:rPr>
          <w:rFonts w:ascii="Verdana" w:eastAsia="Times New Roman" w:hAnsi="Verdana" w:cs="Times New Roman"/>
          <w:sz w:val="20"/>
          <w:szCs w:val="20"/>
        </w:rPr>
        <w:t>75.12</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Payment of costs.</w:t>
      </w:r>
    </w:p>
    <w:p w14:paraId="24A45038" w14:textId="77777777" w:rsidR="003C1B2C" w:rsidRPr="003C1B2C" w:rsidRDefault="003C1B2C" w:rsidP="003C1B2C">
      <w:pPr>
        <w:spacing w:after="0" w:line="240" w:lineRule="auto"/>
        <w:rPr>
          <w:rFonts w:ascii="Verdana" w:eastAsia="Times New Roman" w:hAnsi="Verdana" w:cs="Times New Roman"/>
          <w:sz w:val="20"/>
          <w:szCs w:val="20"/>
        </w:rPr>
      </w:pPr>
      <w:r w:rsidRPr="003C1B2C">
        <w:rPr>
          <w:rFonts w:ascii="Verdana" w:eastAsia="Times New Roman" w:hAnsi="Verdana" w:cs="Times New Roman"/>
          <w:sz w:val="20"/>
          <w:szCs w:val="20"/>
        </w:rPr>
        <w:t>75.13</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Certain prior proceedings validated.</w:t>
      </w:r>
    </w:p>
    <w:p w14:paraId="4EA631A2" w14:textId="77777777" w:rsidR="003C1B2C" w:rsidRPr="003C1B2C" w:rsidRDefault="003C1B2C" w:rsidP="003C1B2C">
      <w:pPr>
        <w:spacing w:after="0" w:line="240" w:lineRule="auto"/>
        <w:rPr>
          <w:rFonts w:ascii="Verdana" w:eastAsia="Times New Roman" w:hAnsi="Verdana" w:cs="Times New Roman"/>
          <w:sz w:val="20"/>
          <w:szCs w:val="20"/>
        </w:rPr>
      </w:pPr>
      <w:r w:rsidRPr="003C1B2C">
        <w:rPr>
          <w:rFonts w:ascii="Verdana" w:eastAsia="Times New Roman" w:hAnsi="Verdana" w:cs="Times New Roman"/>
          <w:sz w:val="20"/>
          <w:szCs w:val="20"/>
        </w:rPr>
        <w:t>75.14</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Landowner or taxpayer not disqualification of judge.</w:t>
      </w:r>
    </w:p>
    <w:p w14:paraId="58CB0405" w14:textId="77777777" w:rsidR="003C1B2C" w:rsidRPr="003C1B2C" w:rsidRDefault="003C1B2C" w:rsidP="003C1B2C">
      <w:pPr>
        <w:spacing w:after="0" w:line="240" w:lineRule="auto"/>
        <w:rPr>
          <w:rFonts w:ascii="Verdana" w:eastAsia="Times New Roman" w:hAnsi="Verdana" w:cs="Times New Roman"/>
          <w:sz w:val="20"/>
          <w:szCs w:val="20"/>
        </w:rPr>
      </w:pPr>
      <w:r w:rsidRPr="003C1B2C">
        <w:rPr>
          <w:rFonts w:ascii="Verdana" w:eastAsia="Times New Roman" w:hAnsi="Verdana" w:cs="Times New Roman"/>
          <w:sz w:val="20"/>
          <w:szCs w:val="20"/>
        </w:rPr>
        <w:lastRenderedPageBreak/>
        <w:t>75.16</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Certain orders and decrees validated.</w:t>
      </w:r>
    </w:p>
    <w:p w14:paraId="7F660A6E" w14:textId="77777777" w:rsidR="003C1B2C" w:rsidRPr="003C1B2C" w:rsidRDefault="003C1B2C" w:rsidP="003C1B2C">
      <w:pPr>
        <w:spacing w:after="0" w:line="240" w:lineRule="auto"/>
        <w:rPr>
          <w:rFonts w:ascii="Verdana" w:eastAsia="Times New Roman" w:hAnsi="Verdana" w:cs="Times New Roman"/>
          <w:sz w:val="20"/>
          <w:szCs w:val="20"/>
        </w:rPr>
      </w:pPr>
      <w:r w:rsidRPr="003C1B2C">
        <w:rPr>
          <w:rFonts w:ascii="Verdana" w:eastAsia="Times New Roman" w:hAnsi="Verdana" w:cs="Times New Roman"/>
          <w:sz w:val="20"/>
          <w:szCs w:val="20"/>
        </w:rPr>
        <w:t>75.17</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Commencement of action after validation; affidavit of good faith.</w:t>
      </w:r>
    </w:p>
    <w:p w14:paraId="08AB1D45" w14:textId="77777777" w:rsidR="003C1B2C" w:rsidRPr="003C1B2C" w:rsidRDefault="003C1B2C" w:rsidP="003C1B2C">
      <w:pPr>
        <w:spacing w:after="0" w:line="240" w:lineRule="auto"/>
        <w:rPr>
          <w:rFonts w:ascii="Verdana" w:eastAsia="Times New Roman" w:hAnsi="Verdana" w:cs="Times New Roman"/>
          <w:sz w:val="20"/>
          <w:szCs w:val="20"/>
        </w:rPr>
      </w:pPr>
      <w:r w:rsidRPr="003C1B2C">
        <w:rPr>
          <w:rFonts w:ascii="Verdana" w:eastAsia="Times New Roman" w:hAnsi="Verdana" w:cs="Times New Roman"/>
          <w:sz w:val="20"/>
          <w:szCs w:val="20"/>
        </w:rPr>
        <w:t>75.01</w:t>
      </w:r>
      <w:r w:rsidRPr="003C1B2C">
        <w:rPr>
          <w:rFonts w:ascii="Verdana" w:eastAsia="Times New Roman" w:hAnsi="Verdana" w:cs="Times New Roman"/>
          <w:sz w:val="20"/>
          <w:szCs w:val="20"/>
        </w:rPr>
        <w:t> </w:t>
      </w:r>
      <w:proofErr w:type="gramStart"/>
      <w:r w:rsidRPr="003C1B2C">
        <w:rPr>
          <w:rFonts w:ascii="Verdana" w:eastAsia="Times New Roman" w:hAnsi="Verdana" w:cs="Times New Roman"/>
          <w:sz w:val="20"/>
          <w:szCs w:val="20"/>
        </w:rPr>
        <w:t>Jurisdiction.—</w:t>
      </w:r>
      <w:proofErr w:type="gramEnd"/>
      <w:r w:rsidRPr="003C1B2C">
        <w:rPr>
          <w:rFonts w:ascii="Verdana" w:eastAsia="Times New Roman" w:hAnsi="Verdana" w:cs="Times New Roman"/>
          <w:sz w:val="20"/>
          <w:szCs w:val="20"/>
        </w:rPr>
        <w:t>Circuit courts have jurisdiction to determine the validation of bonds and certificates of indebtedness and all matters connected therewith.</w:t>
      </w:r>
    </w:p>
    <w:p w14:paraId="278E848F" w14:textId="77777777" w:rsidR="003C1B2C" w:rsidRPr="003C1B2C" w:rsidRDefault="003C1B2C" w:rsidP="003C1B2C">
      <w:pPr>
        <w:spacing w:after="0" w:line="240" w:lineRule="auto"/>
        <w:rPr>
          <w:rFonts w:ascii="Verdana" w:eastAsia="Times New Roman" w:hAnsi="Verdana" w:cs="Times New Roman"/>
          <w:sz w:val="20"/>
          <w:szCs w:val="20"/>
        </w:rPr>
      </w:pPr>
      <w:proofErr w:type="gramStart"/>
      <w:r w:rsidRPr="003C1B2C">
        <w:rPr>
          <w:rFonts w:ascii="Verdana" w:eastAsia="Times New Roman" w:hAnsi="Verdana" w:cs="Times New Roman"/>
          <w:sz w:val="20"/>
          <w:szCs w:val="20"/>
        </w:rPr>
        <w:t>History.—</w:t>
      </w:r>
      <w:proofErr w:type="gramEnd"/>
      <w:r w:rsidRPr="003C1B2C">
        <w:rPr>
          <w:rFonts w:ascii="Verdana" w:eastAsia="Times New Roman" w:hAnsi="Verdana" w:cs="Times New Roman"/>
          <w:sz w:val="20"/>
          <w:szCs w:val="20"/>
        </w:rPr>
        <w:t xml:space="preserve">s. 25,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67-254.</w:t>
      </w:r>
    </w:p>
    <w:p w14:paraId="21802709" w14:textId="77777777" w:rsidR="003C1B2C" w:rsidRPr="003C1B2C" w:rsidRDefault="003C1B2C" w:rsidP="003C1B2C">
      <w:pPr>
        <w:spacing w:after="0" w:line="240" w:lineRule="auto"/>
        <w:rPr>
          <w:rFonts w:ascii="Verdana" w:eastAsia="Times New Roman" w:hAnsi="Verdana" w:cs="Times New Roman"/>
          <w:sz w:val="20"/>
          <w:szCs w:val="20"/>
        </w:rPr>
      </w:pPr>
      <w:r w:rsidRPr="003C1B2C">
        <w:rPr>
          <w:rFonts w:ascii="Verdana" w:eastAsia="Times New Roman" w:hAnsi="Verdana" w:cs="Times New Roman"/>
          <w:sz w:val="20"/>
          <w:szCs w:val="20"/>
        </w:rPr>
        <w:t>75.02</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 xml:space="preserve">Plaintiff.—Any county, municipality, taxing district or other political district or subdivision of this state, including the governing body of any drainage, conservation or reclamation district, and including also state agencies, commissions and departments authorized by law to issue bonds, may determine its authority to incur bonded debt or issue certificates of debt and the legality of all proceedings in connection therewith, including assessment of taxes levied or to be levied, the lien thereof and proceedings or other remedies for their collection. For this </w:t>
      </w:r>
      <w:proofErr w:type="gramStart"/>
      <w:r w:rsidRPr="003C1B2C">
        <w:rPr>
          <w:rFonts w:ascii="Verdana" w:eastAsia="Times New Roman" w:hAnsi="Verdana" w:cs="Times New Roman"/>
          <w:sz w:val="20"/>
          <w:szCs w:val="20"/>
        </w:rPr>
        <w:t>purpose</w:t>
      </w:r>
      <w:proofErr w:type="gramEnd"/>
      <w:r w:rsidRPr="003C1B2C">
        <w:rPr>
          <w:rFonts w:ascii="Verdana" w:eastAsia="Times New Roman" w:hAnsi="Verdana" w:cs="Times New Roman"/>
          <w:sz w:val="20"/>
          <w:szCs w:val="20"/>
        </w:rPr>
        <w:t xml:space="preserve"> a complaint shall be filed in the circuit court in the county or in the county where the municipality or district, or any part thereof, is located against the state and the taxpayers, property owners, and citizens of the county, municipality or district, including nonresidents owning property or subject to taxation therein. In actions to validate bonds or certificates of debt issued by state agencies, commissions or departments, the complaint shall be filed in the circuit court of the county where the proceeds of the bond issue are to be expended, or where the seat of state government is situated, and shall be brought against the state and the taxpayers, property owners and citizens thereof, including nonresidents owning property or subject to taxation therein.</w:t>
      </w:r>
    </w:p>
    <w:p w14:paraId="4C6649E1" w14:textId="77777777" w:rsidR="003C1B2C" w:rsidRPr="003C1B2C" w:rsidRDefault="003C1B2C" w:rsidP="003C1B2C">
      <w:pPr>
        <w:spacing w:after="0" w:line="240" w:lineRule="auto"/>
        <w:rPr>
          <w:rFonts w:ascii="Verdana" w:eastAsia="Times New Roman" w:hAnsi="Verdana" w:cs="Times New Roman"/>
          <w:sz w:val="20"/>
          <w:szCs w:val="20"/>
        </w:rPr>
      </w:pPr>
      <w:proofErr w:type="gramStart"/>
      <w:r w:rsidRPr="003C1B2C">
        <w:rPr>
          <w:rFonts w:ascii="Verdana" w:eastAsia="Times New Roman" w:hAnsi="Verdana" w:cs="Times New Roman"/>
          <w:sz w:val="20"/>
          <w:szCs w:val="20"/>
        </w:rPr>
        <w:t>History.—</w:t>
      </w:r>
      <w:proofErr w:type="gramEnd"/>
      <w:r w:rsidRPr="003C1B2C">
        <w:rPr>
          <w:rFonts w:ascii="Verdana" w:eastAsia="Times New Roman" w:hAnsi="Verdana" w:cs="Times New Roman"/>
          <w:sz w:val="20"/>
          <w:szCs w:val="20"/>
        </w:rPr>
        <w:t xml:space="preserve">s. 1,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6868, 1915; RGS 3296; s. 1,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10036, 1925; s. 1,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12003, 1927; CGL 5106, 5113, 5123; s. 1,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25263, 1949; s. 25,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67-254.</w:t>
      </w:r>
    </w:p>
    <w:p w14:paraId="0B2D0CC4" w14:textId="77777777" w:rsidR="003C1B2C" w:rsidRPr="003C1B2C" w:rsidRDefault="003C1B2C" w:rsidP="003C1B2C">
      <w:pPr>
        <w:spacing w:after="0" w:line="240" w:lineRule="auto"/>
        <w:rPr>
          <w:rFonts w:ascii="Verdana" w:eastAsia="Times New Roman" w:hAnsi="Verdana" w:cs="Times New Roman"/>
          <w:sz w:val="20"/>
          <w:szCs w:val="20"/>
        </w:rPr>
      </w:pPr>
      <w:r w:rsidRPr="003C1B2C">
        <w:rPr>
          <w:rFonts w:ascii="Verdana" w:eastAsia="Times New Roman" w:hAnsi="Verdana" w:cs="Times New Roman"/>
          <w:sz w:val="20"/>
          <w:szCs w:val="20"/>
        </w:rPr>
        <w:t>75.03</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Condition precedent.—As a condition precedent to filing of a complaint for the validation of bonds or certificates of debt, the county, municipality, state agency, commission or department, or district desiring to issue them shall cause an election to be held to authorize the issuance of such bonds or certificates and show prima facie that the election was in favor of the issuance thereof, or, when permitted by law, adopt an ordinance, resolution or other proceeding providing for the issuance of such bonds or certificates in accordance with law.</w:t>
      </w:r>
    </w:p>
    <w:p w14:paraId="5A4F6E61" w14:textId="77777777" w:rsidR="003C1B2C" w:rsidRPr="003C1B2C" w:rsidRDefault="003C1B2C" w:rsidP="003C1B2C">
      <w:pPr>
        <w:spacing w:after="0" w:line="240" w:lineRule="auto"/>
        <w:rPr>
          <w:rFonts w:ascii="Verdana" w:eastAsia="Times New Roman" w:hAnsi="Verdana" w:cs="Times New Roman"/>
          <w:sz w:val="20"/>
          <w:szCs w:val="20"/>
        </w:rPr>
      </w:pPr>
      <w:proofErr w:type="gramStart"/>
      <w:r w:rsidRPr="003C1B2C">
        <w:rPr>
          <w:rFonts w:ascii="Verdana" w:eastAsia="Times New Roman" w:hAnsi="Verdana" w:cs="Times New Roman"/>
          <w:sz w:val="20"/>
          <w:szCs w:val="20"/>
        </w:rPr>
        <w:t>History.—</w:t>
      </w:r>
      <w:proofErr w:type="gramEnd"/>
      <w:r w:rsidRPr="003C1B2C">
        <w:rPr>
          <w:rFonts w:ascii="Verdana" w:eastAsia="Times New Roman" w:hAnsi="Verdana" w:cs="Times New Roman"/>
          <w:sz w:val="20"/>
          <w:szCs w:val="20"/>
        </w:rPr>
        <w:t xml:space="preserve">s. 1,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6868, 1915; RGS 3296; CGL 5106; s. 2,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25263, 1949; s. 25,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67-254.</w:t>
      </w:r>
    </w:p>
    <w:p w14:paraId="344A5B67" w14:textId="77777777" w:rsidR="003C1B2C" w:rsidRPr="003C1B2C" w:rsidRDefault="003C1B2C" w:rsidP="003C1B2C">
      <w:pPr>
        <w:spacing w:after="0" w:line="240" w:lineRule="auto"/>
        <w:rPr>
          <w:rFonts w:ascii="Times New Roman" w:eastAsia="Times New Roman" w:hAnsi="Times New Roman" w:cs="Times New Roman"/>
          <w:sz w:val="24"/>
          <w:szCs w:val="24"/>
        </w:rPr>
      </w:pPr>
      <w:r w:rsidRPr="003C1B2C">
        <w:rPr>
          <w:rFonts w:ascii="Verdana" w:eastAsia="Times New Roman" w:hAnsi="Verdana" w:cs="Times New Roman"/>
          <w:sz w:val="20"/>
          <w:szCs w:val="20"/>
        </w:rPr>
        <w:t>75.04</w:t>
      </w:r>
      <w:r w:rsidRPr="003C1B2C">
        <w:rPr>
          <w:rFonts w:ascii="Verdana" w:eastAsia="Times New Roman" w:hAnsi="Verdana" w:cs="Times New Roman"/>
          <w:sz w:val="20"/>
          <w:szCs w:val="20"/>
        </w:rPr>
        <w:t> </w:t>
      </w:r>
      <w:proofErr w:type="gramStart"/>
      <w:r w:rsidRPr="003C1B2C">
        <w:rPr>
          <w:rFonts w:ascii="Verdana" w:eastAsia="Times New Roman" w:hAnsi="Verdana" w:cs="Times New Roman"/>
          <w:sz w:val="20"/>
          <w:szCs w:val="20"/>
        </w:rPr>
        <w:t>Complaint.—</w:t>
      </w:r>
      <w:proofErr w:type="gramEnd"/>
    </w:p>
    <w:p w14:paraId="23A141EE" w14:textId="77777777" w:rsidR="003C1B2C" w:rsidRPr="003C1B2C" w:rsidRDefault="003C1B2C" w:rsidP="003C1B2C">
      <w:pPr>
        <w:spacing w:after="0" w:line="240" w:lineRule="auto"/>
        <w:rPr>
          <w:rFonts w:ascii="Times New Roman" w:eastAsia="Times New Roman" w:hAnsi="Times New Roman" w:cs="Times New Roman"/>
          <w:sz w:val="24"/>
          <w:szCs w:val="24"/>
        </w:rPr>
      </w:pPr>
      <w:r w:rsidRPr="003C1B2C">
        <w:rPr>
          <w:rFonts w:ascii="Verdana" w:eastAsia="Times New Roman" w:hAnsi="Verdana" w:cs="Times New Roman"/>
          <w:sz w:val="20"/>
          <w:szCs w:val="20"/>
        </w:rPr>
        <w:t>(1)</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The complaint shall set out the plaintiff’s authority for incurring the bonded debt or issuing certificates of debt, the holding of an election and the result when an election is required, the ordinance, resolution, or other proceeding authorizing the issue and its adoption, all other essential proceedings had or taken in connection therewith, the amount of the bonds or certificates to be issued and the interest they are to bear; and, in case of a drainage, conservation, or reclamation district, the authority for the creation of such district, for the issuance of bonds, for the levy and assessment of taxes and all other pertinent matters.</w:t>
      </w:r>
    </w:p>
    <w:p w14:paraId="7C6B142F" w14:textId="77777777" w:rsidR="003C1B2C" w:rsidRPr="003C1B2C" w:rsidRDefault="003C1B2C" w:rsidP="003C1B2C">
      <w:pPr>
        <w:spacing w:after="0" w:line="240" w:lineRule="auto"/>
        <w:rPr>
          <w:rFonts w:ascii="Verdana" w:eastAsia="Times New Roman" w:hAnsi="Verdana" w:cs="Times New Roman"/>
          <w:sz w:val="20"/>
          <w:szCs w:val="20"/>
        </w:rPr>
      </w:pPr>
      <w:r w:rsidRPr="003C1B2C">
        <w:rPr>
          <w:rFonts w:ascii="Verdana" w:eastAsia="Times New Roman" w:hAnsi="Verdana" w:cs="Times New Roman"/>
          <w:sz w:val="20"/>
          <w:szCs w:val="20"/>
        </w:rPr>
        <w:t>(2)</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In the case of an independent special district as defined in s. 218.31(7), the complaint shall allege the creation of a trust indenture established by the petitioner for a bonded trustee acceptable to the court who shall certify the proper expenditure of the proceeds of the bonds.</w:t>
      </w:r>
    </w:p>
    <w:p w14:paraId="32F24F47" w14:textId="77777777" w:rsidR="003C1B2C" w:rsidRPr="003C1B2C" w:rsidRDefault="003C1B2C" w:rsidP="003C1B2C">
      <w:pPr>
        <w:spacing w:after="0" w:line="240" w:lineRule="auto"/>
        <w:rPr>
          <w:rFonts w:ascii="Verdana" w:eastAsia="Times New Roman" w:hAnsi="Verdana" w:cs="Times New Roman"/>
          <w:sz w:val="20"/>
          <w:szCs w:val="20"/>
        </w:rPr>
      </w:pPr>
      <w:proofErr w:type="gramStart"/>
      <w:r w:rsidRPr="003C1B2C">
        <w:rPr>
          <w:rFonts w:ascii="Verdana" w:eastAsia="Times New Roman" w:hAnsi="Verdana" w:cs="Times New Roman"/>
          <w:sz w:val="20"/>
          <w:szCs w:val="20"/>
        </w:rPr>
        <w:t>History.—</w:t>
      </w:r>
      <w:proofErr w:type="gramEnd"/>
      <w:r w:rsidRPr="003C1B2C">
        <w:rPr>
          <w:rFonts w:ascii="Verdana" w:eastAsia="Times New Roman" w:hAnsi="Verdana" w:cs="Times New Roman"/>
          <w:sz w:val="20"/>
          <w:szCs w:val="20"/>
        </w:rPr>
        <w:t xml:space="preserve">s. 2,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6868, 1915; RGS 3297; s. 2,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12003, 1927; CGL 5107, 5123, 5124; s. 1,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14504, 1929; s. 25,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67-254; s. 13,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80-281.</w:t>
      </w:r>
    </w:p>
    <w:p w14:paraId="14D8288B" w14:textId="77777777" w:rsidR="003C1B2C" w:rsidRPr="003C1B2C" w:rsidRDefault="003C1B2C" w:rsidP="003C1B2C">
      <w:pPr>
        <w:spacing w:after="0" w:line="240" w:lineRule="auto"/>
        <w:rPr>
          <w:rFonts w:ascii="Times New Roman" w:eastAsia="Times New Roman" w:hAnsi="Times New Roman" w:cs="Times New Roman"/>
          <w:sz w:val="24"/>
          <w:szCs w:val="24"/>
        </w:rPr>
      </w:pPr>
      <w:r w:rsidRPr="003C1B2C">
        <w:rPr>
          <w:rFonts w:ascii="Verdana" w:eastAsia="Times New Roman" w:hAnsi="Verdana" w:cs="Times New Roman"/>
          <w:sz w:val="20"/>
          <w:szCs w:val="20"/>
        </w:rPr>
        <w:t>75.05</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 xml:space="preserve">Order and </w:t>
      </w:r>
      <w:proofErr w:type="gramStart"/>
      <w:r w:rsidRPr="003C1B2C">
        <w:rPr>
          <w:rFonts w:ascii="Verdana" w:eastAsia="Times New Roman" w:hAnsi="Verdana" w:cs="Times New Roman"/>
          <w:sz w:val="20"/>
          <w:szCs w:val="20"/>
        </w:rPr>
        <w:t>service.—</w:t>
      </w:r>
      <w:proofErr w:type="gramEnd"/>
    </w:p>
    <w:p w14:paraId="4398167E" w14:textId="77777777" w:rsidR="003C1B2C" w:rsidRPr="003C1B2C" w:rsidRDefault="003C1B2C" w:rsidP="003C1B2C">
      <w:pPr>
        <w:spacing w:after="0" w:line="240" w:lineRule="auto"/>
        <w:rPr>
          <w:rFonts w:ascii="Times New Roman" w:eastAsia="Times New Roman" w:hAnsi="Times New Roman" w:cs="Times New Roman"/>
          <w:sz w:val="24"/>
          <w:szCs w:val="24"/>
        </w:rPr>
      </w:pPr>
      <w:r w:rsidRPr="003C1B2C">
        <w:rPr>
          <w:rFonts w:ascii="Verdana" w:eastAsia="Times New Roman" w:hAnsi="Verdana" w:cs="Times New Roman"/>
          <w:sz w:val="20"/>
          <w:szCs w:val="20"/>
        </w:rPr>
        <w:t>(1)</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 xml:space="preserve">The court shall issue an order directed against the state and the several property owners, taxpayers, citizens and others having or claiming any right, title or interest in property to be affected by the issuance of bonds or certificates, or to be affected thereby, requiring all persons, in general terms and without naming them and the state through its </w:t>
      </w:r>
      <w:r w:rsidRPr="003C1B2C">
        <w:rPr>
          <w:rFonts w:ascii="Verdana" w:eastAsia="Times New Roman" w:hAnsi="Verdana" w:cs="Times New Roman"/>
          <w:sz w:val="20"/>
          <w:szCs w:val="20"/>
        </w:rPr>
        <w:lastRenderedPageBreak/>
        <w:t>state attorney or attorneys of the circuits where the county, municipality or district lies, to appear at a designated time and place within the circuit where the complaint is filed and show why the complaint should not be granted and the proceedings and bonds or certificates validated. A copy of the complaint and order shall be served on the state attorney of the circuit in which such proceedings are pending, and when the municipality or district lies in more than one judicial circuit, on the state attorney of each of the circuits at least 20 days before the time fixed for hearing. The state attorney shall examine the complaint, and, if it appears or there is reason to believe that it is defective, insufficient, or untrue, or if in the opinion of the state attorney the issuance of the bonds or certificates in question has not been duly authorized, defense shall be made by said state attorney. The state attorney shall have access, for the purposes aforesaid, to all records and proceedings of the county, municipality, state agency, commission or department, or district, and any officer, agent or employee having charge, possession, or control of any of the books, papers, or records of the county, municipality, state agency, commission, department, or district shall exhibit them for examination on demand of the state attorney, and shall furnish, without cost, duly authenticated copies thereof which pertain to the proceedings for the issuance of the bonds or certificates or which may affect their legality.</w:t>
      </w:r>
    </w:p>
    <w:p w14:paraId="3CA3A9E1" w14:textId="77777777" w:rsidR="003C1B2C" w:rsidRPr="003C1B2C" w:rsidRDefault="003C1B2C" w:rsidP="003C1B2C">
      <w:pPr>
        <w:spacing w:after="0" w:line="240" w:lineRule="auto"/>
        <w:rPr>
          <w:rFonts w:ascii="Verdana" w:eastAsia="Times New Roman" w:hAnsi="Verdana" w:cs="Times New Roman"/>
          <w:sz w:val="20"/>
          <w:szCs w:val="20"/>
        </w:rPr>
      </w:pPr>
      <w:r w:rsidRPr="003C1B2C">
        <w:rPr>
          <w:rFonts w:ascii="Verdana" w:eastAsia="Times New Roman" w:hAnsi="Verdana" w:cs="Times New Roman"/>
          <w:sz w:val="20"/>
          <w:szCs w:val="20"/>
        </w:rPr>
        <w:t>(2)</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In the case of state agencies, commissions, or departments, a copy of the complaint and order shall be served on the state attorney of the circuit in which the action is pending and if pending in a county when the proceeds of the bond issue are to be expended in any other county, on the state attorney of each county in which it is proposed to expend the proceeds.</w:t>
      </w:r>
    </w:p>
    <w:p w14:paraId="6DB8E8DD" w14:textId="77777777" w:rsidR="003C1B2C" w:rsidRPr="003C1B2C" w:rsidRDefault="003C1B2C" w:rsidP="003C1B2C">
      <w:pPr>
        <w:spacing w:after="0" w:line="240" w:lineRule="auto"/>
        <w:rPr>
          <w:rFonts w:ascii="Verdana" w:eastAsia="Times New Roman" w:hAnsi="Verdana" w:cs="Times New Roman"/>
          <w:sz w:val="20"/>
          <w:szCs w:val="20"/>
        </w:rPr>
      </w:pPr>
      <w:r w:rsidRPr="003C1B2C">
        <w:rPr>
          <w:rFonts w:ascii="Verdana" w:eastAsia="Times New Roman" w:hAnsi="Verdana" w:cs="Times New Roman"/>
          <w:sz w:val="20"/>
          <w:szCs w:val="20"/>
        </w:rPr>
        <w:t>(3)</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Notwithstanding any other provision of law, whether a general law or special act, validation of bonds to be issued by a special district, other than a community development district established pursuant to chapter 190, as provided in s. 190.016(12), is not mandatory, but is at the option of the issuer. However, the validation of bonds issued by such community development districts shall not be required on refunding issues.</w:t>
      </w:r>
    </w:p>
    <w:p w14:paraId="69CA551A" w14:textId="77777777" w:rsidR="003C1B2C" w:rsidRPr="003C1B2C" w:rsidRDefault="003C1B2C" w:rsidP="003C1B2C">
      <w:pPr>
        <w:spacing w:after="0" w:line="240" w:lineRule="auto"/>
        <w:rPr>
          <w:rFonts w:ascii="Verdana" w:eastAsia="Times New Roman" w:hAnsi="Verdana" w:cs="Times New Roman"/>
          <w:sz w:val="20"/>
          <w:szCs w:val="20"/>
        </w:rPr>
      </w:pPr>
      <w:r w:rsidRPr="003C1B2C">
        <w:rPr>
          <w:rFonts w:ascii="Verdana" w:eastAsia="Times New Roman" w:hAnsi="Verdana" w:cs="Times New Roman"/>
          <w:sz w:val="20"/>
          <w:szCs w:val="20"/>
        </w:rPr>
        <w:t xml:space="preserve">History.—s. 2,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6868, 1915; RGS 3297; s. 2,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10036, 1925; s. 2,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12003, 1927; CGL 5107, 5114, 5124; s. 1,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14504, 1929; s. 1,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22623, 1945; s. 3,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25263, 1949; s. 25,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67-254; s. 11,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79-183; s. 32,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89-169; s. 1,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91-308; s. 141,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92-279; s. 55,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92-326; s. 5,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2004-305.</w:t>
      </w:r>
    </w:p>
    <w:p w14:paraId="122FB92A" w14:textId="77777777" w:rsidR="003C1B2C" w:rsidRPr="003C1B2C" w:rsidRDefault="003C1B2C" w:rsidP="003C1B2C">
      <w:pPr>
        <w:spacing w:after="0" w:line="240" w:lineRule="auto"/>
        <w:rPr>
          <w:rFonts w:ascii="Times New Roman" w:eastAsia="Times New Roman" w:hAnsi="Times New Roman" w:cs="Times New Roman"/>
          <w:sz w:val="24"/>
          <w:szCs w:val="24"/>
        </w:rPr>
      </w:pPr>
      <w:r w:rsidRPr="003C1B2C">
        <w:rPr>
          <w:rFonts w:ascii="Verdana" w:eastAsia="Times New Roman" w:hAnsi="Verdana" w:cs="Times New Roman"/>
          <w:sz w:val="20"/>
          <w:szCs w:val="20"/>
        </w:rPr>
        <w:t>75.06</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 xml:space="preserve">Publication of </w:t>
      </w:r>
      <w:proofErr w:type="gramStart"/>
      <w:r w:rsidRPr="003C1B2C">
        <w:rPr>
          <w:rFonts w:ascii="Verdana" w:eastAsia="Times New Roman" w:hAnsi="Verdana" w:cs="Times New Roman"/>
          <w:sz w:val="20"/>
          <w:szCs w:val="20"/>
        </w:rPr>
        <w:t>notice.—</w:t>
      </w:r>
      <w:proofErr w:type="gramEnd"/>
    </w:p>
    <w:p w14:paraId="4BDF3741" w14:textId="77777777" w:rsidR="003C1B2C" w:rsidRPr="003C1B2C" w:rsidRDefault="003C1B2C" w:rsidP="003C1B2C">
      <w:pPr>
        <w:spacing w:after="0" w:line="240" w:lineRule="auto"/>
        <w:rPr>
          <w:rFonts w:ascii="Times New Roman" w:eastAsia="Times New Roman" w:hAnsi="Times New Roman" w:cs="Times New Roman"/>
          <w:sz w:val="24"/>
          <w:szCs w:val="24"/>
        </w:rPr>
      </w:pPr>
      <w:r w:rsidRPr="003C1B2C">
        <w:rPr>
          <w:rFonts w:ascii="Verdana" w:eastAsia="Times New Roman" w:hAnsi="Verdana" w:cs="Times New Roman"/>
          <w:sz w:val="20"/>
          <w:szCs w:val="20"/>
        </w:rPr>
        <w:t>(1)</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Before the date set for hearing, the clerk shall publish a copy of the order in the county where the complaint is filed, and if plaintiff is a municipality or district in more than one county, then in each county, at least once each week for 2 consecutive weeks, commencing with the first publication, which shall not be less than 20 days before the date set for hearing but if there is a newspaper published in the territory to be affected by the issuance of the bonds or certificates, and in the county or counties the publication shall be therein unless otherwise ordered by the court. By this publication all property owners, taxpayers, citizens, and others having or claiming any right, title or interest in the county, municipality or district, or the taxable property therein, are made parties defendant to the action and the court has jurisdiction of them to the same extent as if named as defendants in the complaint and personally served with process.</w:t>
      </w:r>
    </w:p>
    <w:p w14:paraId="4D579EE4" w14:textId="77777777" w:rsidR="003C1B2C" w:rsidRPr="003C1B2C" w:rsidRDefault="003C1B2C" w:rsidP="003C1B2C">
      <w:pPr>
        <w:spacing w:after="0" w:line="240" w:lineRule="auto"/>
        <w:rPr>
          <w:rFonts w:ascii="Verdana" w:eastAsia="Times New Roman" w:hAnsi="Verdana" w:cs="Times New Roman"/>
          <w:sz w:val="20"/>
          <w:szCs w:val="20"/>
        </w:rPr>
      </w:pPr>
      <w:r w:rsidRPr="003C1B2C">
        <w:rPr>
          <w:rFonts w:ascii="Verdana" w:eastAsia="Times New Roman" w:hAnsi="Verdana" w:cs="Times New Roman"/>
          <w:sz w:val="20"/>
          <w:szCs w:val="20"/>
        </w:rPr>
        <w:t>(2)</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In actions to validate the bonds of state agencies, commissions or departments, the order shall be published in the same manner in a newspaper in each of the counties where the proceeds of bonds are to be expended, and in a newspaper published in the county in which the seat of state government is located if the action is brought therein.</w:t>
      </w:r>
    </w:p>
    <w:p w14:paraId="35776858" w14:textId="77777777" w:rsidR="003C1B2C" w:rsidRPr="003C1B2C" w:rsidRDefault="003C1B2C" w:rsidP="003C1B2C">
      <w:pPr>
        <w:spacing w:after="0" w:line="240" w:lineRule="auto"/>
        <w:rPr>
          <w:rFonts w:ascii="Verdana" w:eastAsia="Times New Roman" w:hAnsi="Verdana" w:cs="Times New Roman"/>
          <w:sz w:val="20"/>
          <w:szCs w:val="20"/>
        </w:rPr>
      </w:pPr>
      <w:proofErr w:type="gramStart"/>
      <w:r w:rsidRPr="003C1B2C">
        <w:rPr>
          <w:rFonts w:ascii="Verdana" w:eastAsia="Times New Roman" w:hAnsi="Verdana" w:cs="Times New Roman"/>
          <w:sz w:val="20"/>
          <w:szCs w:val="20"/>
        </w:rPr>
        <w:t>History.—</w:t>
      </w:r>
      <w:proofErr w:type="gramEnd"/>
      <w:r w:rsidRPr="003C1B2C">
        <w:rPr>
          <w:rFonts w:ascii="Verdana" w:eastAsia="Times New Roman" w:hAnsi="Verdana" w:cs="Times New Roman"/>
          <w:sz w:val="20"/>
          <w:szCs w:val="20"/>
        </w:rPr>
        <w:t xml:space="preserve">s. 2,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6868, 1915; RGS 3297; s. 3,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10036, 1925; s. 2,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12003, 1927; CGL 5107, 5115, 5124; s. 1,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14504, 1929; s. 1,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22633, 1945; s. 4,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25263, 1949; s. 25,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67-254; s. 3,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90-279.</w:t>
      </w:r>
    </w:p>
    <w:p w14:paraId="40EAD7CD" w14:textId="77777777" w:rsidR="003C1B2C" w:rsidRPr="003C1B2C" w:rsidRDefault="003C1B2C" w:rsidP="003C1B2C">
      <w:pPr>
        <w:spacing w:after="0" w:line="240" w:lineRule="auto"/>
        <w:rPr>
          <w:rFonts w:ascii="Verdana" w:eastAsia="Times New Roman" w:hAnsi="Verdana" w:cs="Times New Roman"/>
          <w:sz w:val="20"/>
          <w:szCs w:val="20"/>
        </w:rPr>
      </w:pPr>
      <w:r w:rsidRPr="003C1B2C">
        <w:rPr>
          <w:rFonts w:ascii="Verdana" w:eastAsia="Times New Roman" w:hAnsi="Verdana" w:cs="Times New Roman"/>
          <w:sz w:val="20"/>
          <w:szCs w:val="20"/>
        </w:rPr>
        <w:t>75.07</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 xml:space="preserve">Intervention; </w:t>
      </w:r>
      <w:proofErr w:type="gramStart"/>
      <w:r w:rsidRPr="003C1B2C">
        <w:rPr>
          <w:rFonts w:ascii="Verdana" w:eastAsia="Times New Roman" w:hAnsi="Verdana" w:cs="Times New Roman"/>
          <w:sz w:val="20"/>
          <w:szCs w:val="20"/>
        </w:rPr>
        <w:t>hearings.—</w:t>
      </w:r>
      <w:proofErr w:type="gramEnd"/>
      <w:r w:rsidRPr="003C1B2C">
        <w:rPr>
          <w:rFonts w:ascii="Verdana" w:eastAsia="Times New Roman" w:hAnsi="Verdana" w:cs="Times New Roman"/>
          <w:sz w:val="20"/>
          <w:szCs w:val="20"/>
        </w:rPr>
        <w:t xml:space="preserve">Any property owner, taxpayer, citizen or person interested may become a party to the action by moving against or pleading to the complaint at or </w:t>
      </w:r>
      <w:r w:rsidRPr="003C1B2C">
        <w:rPr>
          <w:rFonts w:ascii="Verdana" w:eastAsia="Times New Roman" w:hAnsi="Verdana" w:cs="Times New Roman"/>
          <w:sz w:val="20"/>
          <w:szCs w:val="20"/>
        </w:rPr>
        <w:lastRenderedPageBreak/>
        <w:t>before the time set for hearing. At the hearing the court shall determine all questions of law and fact and make such orders as will enable it to properly try and determine the action and render a final judgment with the least possible delay.</w:t>
      </w:r>
    </w:p>
    <w:p w14:paraId="0C65B987" w14:textId="77777777" w:rsidR="003C1B2C" w:rsidRPr="003C1B2C" w:rsidRDefault="003C1B2C" w:rsidP="003C1B2C">
      <w:pPr>
        <w:spacing w:after="0" w:line="240" w:lineRule="auto"/>
        <w:rPr>
          <w:rFonts w:ascii="Verdana" w:eastAsia="Times New Roman" w:hAnsi="Verdana" w:cs="Times New Roman"/>
          <w:sz w:val="20"/>
          <w:szCs w:val="20"/>
        </w:rPr>
      </w:pPr>
      <w:proofErr w:type="gramStart"/>
      <w:r w:rsidRPr="003C1B2C">
        <w:rPr>
          <w:rFonts w:ascii="Verdana" w:eastAsia="Times New Roman" w:hAnsi="Verdana" w:cs="Times New Roman"/>
          <w:sz w:val="20"/>
          <w:szCs w:val="20"/>
        </w:rPr>
        <w:t>History.—</w:t>
      </w:r>
      <w:proofErr w:type="gramEnd"/>
      <w:r w:rsidRPr="003C1B2C">
        <w:rPr>
          <w:rFonts w:ascii="Verdana" w:eastAsia="Times New Roman" w:hAnsi="Verdana" w:cs="Times New Roman"/>
          <w:sz w:val="20"/>
          <w:szCs w:val="20"/>
        </w:rPr>
        <w:t xml:space="preserve">s. 3,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6868, 1915; RGS 3298; s. 1,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11854; s. 3,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12003, 1927; CGL 5108, 5125; s. 25,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67-254.</w:t>
      </w:r>
    </w:p>
    <w:p w14:paraId="358B32A8" w14:textId="77777777" w:rsidR="003C1B2C" w:rsidRPr="003C1B2C" w:rsidRDefault="003C1B2C" w:rsidP="003C1B2C">
      <w:pPr>
        <w:spacing w:after="0" w:line="240" w:lineRule="auto"/>
        <w:rPr>
          <w:rFonts w:ascii="Verdana" w:eastAsia="Times New Roman" w:hAnsi="Verdana" w:cs="Times New Roman"/>
          <w:sz w:val="20"/>
          <w:szCs w:val="20"/>
        </w:rPr>
      </w:pPr>
      <w:r w:rsidRPr="003C1B2C">
        <w:rPr>
          <w:rFonts w:ascii="Verdana" w:eastAsia="Times New Roman" w:hAnsi="Verdana" w:cs="Times New Roman"/>
          <w:sz w:val="20"/>
          <w:szCs w:val="20"/>
        </w:rPr>
        <w:t>75.08</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 xml:space="preserve">Appeal and </w:t>
      </w:r>
      <w:proofErr w:type="gramStart"/>
      <w:r w:rsidRPr="003C1B2C">
        <w:rPr>
          <w:rFonts w:ascii="Verdana" w:eastAsia="Times New Roman" w:hAnsi="Verdana" w:cs="Times New Roman"/>
          <w:sz w:val="20"/>
          <w:szCs w:val="20"/>
        </w:rPr>
        <w:t>review.—</w:t>
      </w:r>
      <w:proofErr w:type="gramEnd"/>
      <w:r w:rsidRPr="003C1B2C">
        <w:rPr>
          <w:rFonts w:ascii="Verdana" w:eastAsia="Times New Roman" w:hAnsi="Verdana" w:cs="Times New Roman"/>
          <w:sz w:val="20"/>
          <w:szCs w:val="20"/>
        </w:rPr>
        <w:t>Any party to the action whether plaintiff, defendant, intervenor or otherwise, dissatisfied with the final judgment, may appeal to the Supreme Court within the time and in the manner prescribed by the Florida Rules of Appellate Procedure.</w:t>
      </w:r>
    </w:p>
    <w:p w14:paraId="38231CDD" w14:textId="77777777" w:rsidR="003C1B2C" w:rsidRPr="003C1B2C" w:rsidRDefault="003C1B2C" w:rsidP="003C1B2C">
      <w:pPr>
        <w:spacing w:after="0" w:line="240" w:lineRule="auto"/>
        <w:rPr>
          <w:rFonts w:ascii="Verdana" w:eastAsia="Times New Roman" w:hAnsi="Verdana" w:cs="Times New Roman"/>
          <w:sz w:val="20"/>
          <w:szCs w:val="20"/>
        </w:rPr>
      </w:pPr>
      <w:proofErr w:type="gramStart"/>
      <w:r w:rsidRPr="003C1B2C">
        <w:rPr>
          <w:rFonts w:ascii="Verdana" w:eastAsia="Times New Roman" w:hAnsi="Verdana" w:cs="Times New Roman"/>
          <w:sz w:val="20"/>
          <w:szCs w:val="20"/>
        </w:rPr>
        <w:t>History.—</w:t>
      </w:r>
      <w:proofErr w:type="gramEnd"/>
      <w:r w:rsidRPr="003C1B2C">
        <w:rPr>
          <w:rFonts w:ascii="Verdana" w:eastAsia="Times New Roman" w:hAnsi="Verdana" w:cs="Times New Roman"/>
          <w:sz w:val="20"/>
          <w:szCs w:val="20"/>
        </w:rPr>
        <w:t xml:space="preserve">s. 3,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6868, 1915; RGS 3298; s. 1,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11854, s. 3,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12003, 1927; CGL 5108, 5125; s. 10,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63-559; s. 25,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67-254.</w:t>
      </w:r>
    </w:p>
    <w:p w14:paraId="36172F37" w14:textId="77777777" w:rsidR="003C1B2C" w:rsidRPr="003C1B2C" w:rsidRDefault="003C1B2C" w:rsidP="003C1B2C">
      <w:pPr>
        <w:spacing w:after="0" w:line="240" w:lineRule="auto"/>
        <w:rPr>
          <w:rFonts w:ascii="Verdana" w:eastAsia="Times New Roman" w:hAnsi="Verdana" w:cs="Times New Roman"/>
          <w:sz w:val="20"/>
          <w:szCs w:val="20"/>
        </w:rPr>
      </w:pPr>
      <w:r w:rsidRPr="003C1B2C">
        <w:rPr>
          <w:rFonts w:ascii="Verdana" w:eastAsia="Times New Roman" w:hAnsi="Verdana" w:cs="Times New Roman"/>
          <w:sz w:val="20"/>
          <w:szCs w:val="20"/>
        </w:rPr>
        <w:t>75.09</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Effect of final judgment.—If the judgment validates such bonds, certificates or other obligations, which may include the validation of the county, municipality, taxing district, political district, subdivision, agency, instrumentality or other public body itself and any taxes, assessments or revenues affected, and no appeal is taken within the time prescribed, or if taken and the judgment is affirmed, such judgment is forever conclusive as to all matters adjudicated against plaintiff and all parties affected thereby, including all property owners, taxpayers and citizens of the plaintiff, and all others having or claiming any right, title or interest in property to be affected by the issuance of said bonds, certificates or other obligations, or to be affected in any way thereby, and the validity of said bonds, certificates or other obligations or of any taxes, assessments or revenues pledged for the payment thereof, or of the proceedings authorizing the issuance thereof, including any remedies provided for their collection, shall never be called in question in any court by any person or party.</w:t>
      </w:r>
    </w:p>
    <w:p w14:paraId="327B1E28" w14:textId="77777777" w:rsidR="003C1B2C" w:rsidRPr="003C1B2C" w:rsidRDefault="003C1B2C" w:rsidP="003C1B2C">
      <w:pPr>
        <w:spacing w:after="0" w:line="240" w:lineRule="auto"/>
        <w:rPr>
          <w:rFonts w:ascii="Verdana" w:eastAsia="Times New Roman" w:hAnsi="Verdana" w:cs="Times New Roman"/>
          <w:sz w:val="20"/>
          <w:szCs w:val="20"/>
        </w:rPr>
      </w:pPr>
      <w:proofErr w:type="gramStart"/>
      <w:r w:rsidRPr="003C1B2C">
        <w:rPr>
          <w:rFonts w:ascii="Verdana" w:eastAsia="Times New Roman" w:hAnsi="Verdana" w:cs="Times New Roman"/>
          <w:sz w:val="20"/>
          <w:szCs w:val="20"/>
        </w:rPr>
        <w:t>History.—</w:t>
      </w:r>
      <w:proofErr w:type="gramEnd"/>
      <w:r w:rsidRPr="003C1B2C">
        <w:rPr>
          <w:rFonts w:ascii="Verdana" w:eastAsia="Times New Roman" w:hAnsi="Verdana" w:cs="Times New Roman"/>
          <w:sz w:val="20"/>
          <w:szCs w:val="20"/>
        </w:rPr>
        <w:t xml:space="preserve">s. 4,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6868, 1915; RGS 3299; s. 4,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12003, 1927; CGL 5109, 5126; s. 1,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29691, 1955; s. 9,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57-1; s. 25,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67-254.</w:t>
      </w:r>
    </w:p>
    <w:p w14:paraId="3840C1D1" w14:textId="77777777" w:rsidR="003C1B2C" w:rsidRPr="003C1B2C" w:rsidRDefault="003C1B2C" w:rsidP="003C1B2C">
      <w:pPr>
        <w:spacing w:after="0" w:line="240" w:lineRule="auto"/>
        <w:rPr>
          <w:rFonts w:ascii="Verdana" w:eastAsia="Times New Roman" w:hAnsi="Verdana" w:cs="Times New Roman"/>
          <w:sz w:val="20"/>
          <w:szCs w:val="20"/>
        </w:rPr>
      </w:pPr>
      <w:r w:rsidRPr="003C1B2C">
        <w:rPr>
          <w:rFonts w:ascii="Verdana" w:eastAsia="Times New Roman" w:hAnsi="Verdana" w:cs="Times New Roman"/>
          <w:sz w:val="20"/>
          <w:szCs w:val="20"/>
        </w:rPr>
        <w:t>75.10</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 xml:space="preserve">Recording of judgment in other </w:t>
      </w:r>
      <w:proofErr w:type="gramStart"/>
      <w:r w:rsidRPr="003C1B2C">
        <w:rPr>
          <w:rFonts w:ascii="Verdana" w:eastAsia="Times New Roman" w:hAnsi="Verdana" w:cs="Times New Roman"/>
          <w:sz w:val="20"/>
          <w:szCs w:val="20"/>
        </w:rPr>
        <w:t>counties.—</w:t>
      </w:r>
      <w:proofErr w:type="gramEnd"/>
      <w:r w:rsidRPr="003C1B2C">
        <w:rPr>
          <w:rFonts w:ascii="Verdana" w:eastAsia="Times New Roman" w:hAnsi="Verdana" w:cs="Times New Roman"/>
          <w:sz w:val="20"/>
          <w:szCs w:val="20"/>
        </w:rPr>
        <w:t>If any judgment extends into more than one county it shall be recorded in each county in which the plaintiff municipality or district extends.</w:t>
      </w:r>
    </w:p>
    <w:p w14:paraId="27584E3D" w14:textId="77777777" w:rsidR="003C1B2C" w:rsidRPr="003C1B2C" w:rsidRDefault="003C1B2C" w:rsidP="003C1B2C">
      <w:pPr>
        <w:spacing w:after="0" w:line="240" w:lineRule="auto"/>
        <w:rPr>
          <w:rFonts w:ascii="Verdana" w:eastAsia="Times New Roman" w:hAnsi="Verdana" w:cs="Times New Roman"/>
          <w:sz w:val="20"/>
          <w:szCs w:val="20"/>
        </w:rPr>
      </w:pPr>
      <w:proofErr w:type="gramStart"/>
      <w:r w:rsidRPr="003C1B2C">
        <w:rPr>
          <w:rFonts w:ascii="Verdana" w:eastAsia="Times New Roman" w:hAnsi="Verdana" w:cs="Times New Roman"/>
          <w:sz w:val="20"/>
          <w:szCs w:val="20"/>
        </w:rPr>
        <w:t>History.—</w:t>
      </w:r>
      <w:proofErr w:type="gramEnd"/>
      <w:r w:rsidRPr="003C1B2C">
        <w:rPr>
          <w:rFonts w:ascii="Verdana" w:eastAsia="Times New Roman" w:hAnsi="Verdana" w:cs="Times New Roman"/>
          <w:sz w:val="20"/>
          <w:szCs w:val="20"/>
        </w:rPr>
        <w:t xml:space="preserve">s. 4,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10036, 1925; CGL 5116; s. 25,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67-254.</w:t>
      </w:r>
    </w:p>
    <w:p w14:paraId="01BE2F70" w14:textId="77777777" w:rsidR="003C1B2C" w:rsidRPr="003C1B2C" w:rsidRDefault="003C1B2C" w:rsidP="003C1B2C">
      <w:pPr>
        <w:spacing w:after="0" w:line="240" w:lineRule="auto"/>
        <w:rPr>
          <w:rFonts w:ascii="Times New Roman" w:eastAsia="Times New Roman" w:hAnsi="Times New Roman" w:cs="Times New Roman"/>
          <w:sz w:val="24"/>
          <w:szCs w:val="24"/>
        </w:rPr>
      </w:pPr>
      <w:r w:rsidRPr="003C1B2C">
        <w:rPr>
          <w:rFonts w:ascii="Verdana" w:eastAsia="Times New Roman" w:hAnsi="Verdana" w:cs="Times New Roman"/>
          <w:sz w:val="20"/>
          <w:szCs w:val="20"/>
        </w:rPr>
        <w:t>75.11</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 xml:space="preserve">Stamping instruments </w:t>
      </w:r>
      <w:proofErr w:type="gramStart"/>
      <w:r w:rsidRPr="003C1B2C">
        <w:rPr>
          <w:rFonts w:ascii="Verdana" w:eastAsia="Times New Roman" w:hAnsi="Verdana" w:cs="Times New Roman"/>
          <w:sz w:val="20"/>
          <w:szCs w:val="20"/>
        </w:rPr>
        <w:t>validated.—</w:t>
      </w:r>
      <w:proofErr w:type="gramEnd"/>
    </w:p>
    <w:p w14:paraId="782E94C8" w14:textId="77777777" w:rsidR="003C1B2C" w:rsidRPr="003C1B2C" w:rsidRDefault="003C1B2C" w:rsidP="003C1B2C">
      <w:pPr>
        <w:spacing w:after="0" w:line="240" w:lineRule="auto"/>
        <w:rPr>
          <w:rFonts w:ascii="Times New Roman" w:eastAsia="Times New Roman" w:hAnsi="Times New Roman" w:cs="Times New Roman"/>
          <w:sz w:val="24"/>
          <w:szCs w:val="24"/>
        </w:rPr>
      </w:pPr>
      <w:r w:rsidRPr="003C1B2C">
        <w:rPr>
          <w:rFonts w:ascii="Verdana" w:eastAsia="Times New Roman" w:hAnsi="Verdana" w:cs="Times New Roman"/>
          <w:sz w:val="20"/>
          <w:szCs w:val="20"/>
        </w:rPr>
        <w:t>(1)</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Bonds or certificates, when validated under this chapter, shall have stamped or written thereon, by the proper officers of such county, municipality or district issuing them, a statement in substantially the following form:</w:t>
      </w:r>
    </w:p>
    <w:p w14:paraId="2E0EA63C" w14:textId="77777777" w:rsidR="003C1B2C" w:rsidRPr="003C1B2C" w:rsidRDefault="003C1B2C" w:rsidP="003C1B2C">
      <w:pPr>
        <w:spacing w:before="100" w:beforeAutospacing="1" w:after="100" w:afterAutospacing="1" w:line="240" w:lineRule="auto"/>
        <w:rPr>
          <w:rFonts w:ascii="Verdana" w:eastAsia="Times New Roman" w:hAnsi="Verdana" w:cs="Times New Roman"/>
          <w:sz w:val="20"/>
          <w:szCs w:val="20"/>
        </w:rPr>
      </w:pPr>
      <w:r w:rsidRPr="003C1B2C">
        <w:rPr>
          <w:rFonts w:ascii="Verdana" w:eastAsia="Times New Roman" w:hAnsi="Verdana" w:cs="Times New Roman"/>
          <w:sz w:val="20"/>
          <w:szCs w:val="20"/>
        </w:rPr>
        <w:t xml:space="preserve">“This bond is one of a series of bonds which were validated by judgment of the Circuit Court for   County, rendered </w:t>
      </w:r>
      <w:proofErr w:type="gramStart"/>
      <w:r w:rsidRPr="003C1B2C">
        <w:rPr>
          <w:rFonts w:ascii="Verdana" w:eastAsia="Times New Roman" w:hAnsi="Verdana" w:cs="Times New Roman"/>
          <w:sz w:val="20"/>
          <w:szCs w:val="20"/>
        </w:rPr>
        <w:t>on  ,</w:t>
      </w:r>
      <w:proofErr w:type="gramEnd"/>
      <w:r w:rsidRPr="003C1B2C">
        <w:rPr>
          <w:rFonts w:ascii="Verdana" w:eastAsia="Times New Roman" w:hAnsi="Verdana" w:cs="Times New Roman"/>
          <w:sz w:val="20"/>
          <w:szCs w:val="20"/>
        </w:rPr>
        <w:t xml:space="preserve">   (year)  .”</w:t>
      </w:r>
    </w:p>
    <w:p w14:paraId="030C13A8" w14:textId="77777777" w:rsidR="003C1B2C" w:rsidRPr="003C1B2C" w:rsidRDefault="003C1B2C" w:rsidP="003C1B2C">
      <w:pPr>
        <w:spacing w:after="0" w:line="240" w:lineRule="auto"/>
        <w:rPr>
          <w:rFonts w:ascii="Verdana" w:eastAsia="Times New Roman" w:hAnsi="Verdana" w:cs="Times New Roman"/>
          <w:sz w:val="20"/>
          <w:szCs w:val="20"/>
        </w:rPr>
      </w:pPr>
      <w:r w:rsidRPr="003C1B2C">
        <w:rPr>
          <w:rFonts w:ascii="Verdana" w:eastAsia="Times New Roman" w:hAnsi="Verdana" w:cs="Times New Roman"/>
          <w:sz w:val="20"/>
          <w:szCs w:val="20"/>
        </w:rPr>
        <w:t>(2)</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A certified copy of the judgment or decree shall be received as evidence in any court in this state.</w:t>
      </w:r>
    </w:p>
    <w:p w14:paraId="015ACEEE" w14:textId="77777777" w:rsidR="003C1B2C" w:rsidRPr="003C1B2C" w:rsidRDefault="003C1B2C" w:rsidP="003C1B2C">
      <w:pPr>
        <w:spacing w:after="0" w:line="240" w:lineRule="auto"/>
        <w:rPr>
          <w:rFonts w:ascii="Verdana" w:eastAsia="Times New Roman" w:hAnsi="Verdana" w:cs="Times New Roman"/>
          <w:sz w:val="20"/>
          <w:szCs w:val="20"/>
        </w:rPr>
      </w:pPr>
      <w:proofErr w:type="gramStart"/>
      <w:r w:rsidRPr="003C1B2C">
        <w:rPr>
          <w:rFonts w:ascii="Verdana" w:eastAsia="Times New Roman" w:hAnsi="Verdana" w:cs="Times New Roman"/>
          <w:sz w:val="20"/>
          <w:szCs w:val="20"/>
        </w:rPr>
        <w:t>History.—</w:t>
      </w:r>
      <w:proofErr w:type="gramEnd"/>
      <w:r w:rsidRPr="003C1B2C">
        <w:rPr>
          <w:rFonts w:ascii="Verdana" w:eastAsia="Times New Roman" w:hAnsi="Verdana" w:cs="Times New Roman"/>
          <w:sz w:val="20"/>
          <w:szCs w:val="20"/>
        </w:rPr>
        <w:t xml:space="preserve">s. 5,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6868, 1915; RGS 3300; s. 5,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12003, 1927; CGL 5110, 5127; s. 1,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57-300; s. 25,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67-254; s. 4,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99-6.</w:t>
      </w:r>
    </w:p>
    <w:p w14:paraId="13C12B1A" w14:textId="77777777" w:rsidR="003C1B2C" w:rsidRPr="003C1B2C" w:rsidRDefault="003C1B2C" w:rsidP="003C1B2C">
      <w:pPr>
        <w:spacing w:after="0" w:line="240" w:lineRule="auto"/>
        <w:rPr>
          <w:rFonts w:ascii="Verdana" w:eastAsia="Times New Roman" w:hAnsi="Verdana" w:cs="Times New Roman"/>
          <w:sz w:val="20"/>
          <w:szCs w:val="20"/>
        </w:rPr>
      </w:pPr>
      <w:r w:rsidRPr="003C1B2C">
        <w:rPr>
          <w:rFonts w:ascii="Verdana" w:eastAsia="Times New Roman" w:hAnsi="Verdana" w:cs="Times New Roman"/>
          <w:sz w:val="20"/>
          <w:szCs w:val="20"/>
        </w:rPr>
        <w:t>75.12</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 xml:space="preserve">Payment of </w:t>
      </w:r>
      <w:proofErr w:type="gramStart"/>
      <w:r w:rsidRPr="003C1B2C">
        <w:rPr>
          <w:rFonts w:ascii="Verdana" w:eastAsia="Times New Roman" w:hAnsi="Verdana" w:cs="Times New Roman"/>
          <w:sz w:val="20"/>
          <w:szCs w:val="20"/>
        </w:rPr>
        <w:t>costs.—</w:t>
      </w:r>
      <w:proofErr w:type="gramEnd"/>
      <w:r w:rsidRPr="003C1B2C">
        <w:rPr>
          <w:rFonts w:ascii="Verdana" w:eastAsia="Times New Roman" w:hAnsi="Verdana" w:cs="Times New Roman"/>
          <w:sz w:val="20"/>
          <w:szCs w:val="20"/>
        </w:rPr>
        <w:t>The costs shall be paid by the county, municipality, or district filing the complaint except when a taxpayer, citizen, or other person contests the action or intervenes, the court may tax the whole or any part of the costs against him or her as is equitable.</w:t>
      </w:r>
    </w:p>
    <w:p w14:paraId="749F361D" w14:textId="77777777" w:rsidR="003C1B2C" w:rsidRPr="003C1B2C" w:rsidRDefault="003C1B2C" w:rsidP="003C1B2C">
      <w:pPr>
        <w:spacing w:after="0" w:line="240" w:lineRule="auto"/>
        <w:rPr>
          <w:rFonts w:ascii="Verdana" w:eastAsia="Times New Roman" w:hAnsi="Verdana" w:cs="Times New Roman"/>
          <w:sz w:val="20"/>
          <w:szCs w:val="20"/>
        </w:rPr>
      </w:pPr>
      <w:proofErr w:type="gramStart"/>
      <w:r w:rsidRPr="003C1B2C">
        <w:rPr>
          <w:rFonts w:ascii="Verdana" w:eastAsia="Times New Roman" w:hAnsi="Verdana" w:cs="Times New Roman"/>
          <w:sz w:val="20"/>
          <w:szCs w:val="20"/>
        </w:rPr>
        <w:t>History.—</w:t>
      </w:r>
      <w:proofErr w:type="gramEnd"/>
      <w:r w:rsidRPr="003C1B2C">
        <w:rPr>
          <w:rFonts w:ascii="Verdana" w:eastAsia="Times New Roman" w:hAnsi="Verdana" w:cs="Times New Roman"/>
          <w:sz w:val="20"/>
          <w:szCs w:val="20"/>
        </w:rPr>
        <w:t xml:space="preserve">s. 6,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6868, 1915; RGS 3301; s. 6,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12003, 1927; CGL 5111, 5128; s. 25,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67-254; s. 367,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95-147.</w:t>
      </w:r>
    </w:p>
    <w:p w14:paraId="1AEBF406" w14:textId="77777777" w:rsidR="003C1B2C" w:rsidRPr="003C1B2C" w:rsidRDefault="003C1B2C" w:rsidP="003C1B2C">
      <w:pPr>
        <w:spacing w:after="0" w:line="240" w:lineRule="auto"/>
        <w:rPr>
          <w:rFonts w:ascii="Verdana" w:eastAsia="Times New Roman" w:hAnsi="Verdana" w:cs="Times New Roman"/>
          <w:sz w:val="20"/>
          <w:szCs w:val="20"/>
        </w:rPr>
      </w:pPr>
      <w:r w:rsidRPr="003C1B2C">
        <w:rPr>
          <w:rFonts w:ascii="Verdana" w:eastAsia="Times New Roman" w:hAnsi="Verdana" w:cs="Times New Roman"/>
          <w:sz w:val="20"/>
          <w:szCs w:val="20"/>
        </w:rPr>
        <w:t>75.13</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 xml:space="preserve">Certain prior proceedings validated.—Any action for validation heretofore brought by any municipality, special taxing district or political district or subdivision which extends into more than one county or judicial circuit, whereby bonds or certificates of debt have been validated in which the proceedings have been brought in one county and a decree has been </w:t>
      </w:r>
      <w:r w:rsidRPr="003C1B2C">
        <w:rPr>
          <w:rFonts w:ascii="Verdana" w:eastAsia="Times New Roman" w:hAnsi="Verdana" w:cs="Times New Roman"/>
          <w:sz w:val="20"/>
          <w:szCs w:val="20"/>
        </w:rPr>
        <w:lastRenderedPageBreak/>
        <w:t>entered, said decree shall be binding on all of the citizens, property owners, or taxpayers of each municipality, district or subdivision.</w:t>
      </w:r>
    </w:p>
    <w:p w14:paraId="68FD4F09" w14:textId="77777777" w:rsidR="003C1B2C" w:rsidRPr="003C1B2C" w:rsidRDefault="003C1B2C" w:rsidP="003C1B2C">
      <w:pPr>
        <w:spacing w:after="0" w:line="240" w:lineRule="auto"/>
        <w:rPr>
          <w:rFonts w:ascii="Verdana" w:eastAsia="Times New Roman" w:hAnsi="Verdana" w:cs="Times New Roman"/>
          <w:sz w:val="20"/>
          <w:szCs w:val="20"/>
        </w:rPr>
      </w:pPr>
      <w:proofErr w:type="gramStart"/>
      <w:r w:rsidRPr="003C1B2C">
        <w:rPr>
          <w:rFonts w:ascii="Verdana" w:eastAsia="Times New Roman" w:hAnsi="Verdana" w:cs="Times New Roman"/>
          <w:sz w:val="20"/>
          <w:szCs w:val="20"/>
        </w:rPr>
        <w:t>History.—</w:t>
      </w:r>
      <w:proofErr w:type="gramEnd"/>
      <w:r w:rsidRPr="003C1B2C">
        <w:rPr>
          <w:rFonts w:ascii="Verdana" w:eastAsia="Times New Roman" w:hAnsi="Verdana" w:cs="Times New Roman"/>
          <w:sz w:val="20"/>
          <w:szCs w:val="20"/>
        </w:rPr>
        <w:t xml:space="preserve">s. 5,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10036, 1925; CGL 5117; s. 25,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67-254.</w:t>
      </w:r>
    </w:p>
    <w:p w14:paraId="58CE09B3" w14:textId="77777777" w:rsidR="003C1B2C" w:rsidRPr="003C1B2C" w:rsidRDefault="003C1B2C" w:rsidP="003C1B2C">
      <w:pPr>
        <w:spacing w:after="0" w:line="240" w:lineRule="auto"/>
        <w:rPr>
          <w:rFonts w:ascii="Verdana" w:eastAsia="Times New Roman" w:hAnsi="Verdana" w:cs="Times New Roman"/>
          <w:sz w:val="20"/>
          <w:szCs w:val="20"/>
        </w:rPr>
      </w:pPr>
      <w:r w:rsidRPr="003C1B2C">
        <w:rPr>
          <w:rFonts w:ascii="Verdana" w:eastAsia="Times New Roman" w:hAnsi="Verdana" w:cs="Times New Roman"/>
          <w:sz w:val="20"/>
          <w:szCs w:val="20"/>
        </w:rPr>
        <w:t>75.14</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 xml:space="preserve">Landowner or taxpayer not disqualification of </w:t>
      </w:r>
      <w:proofErr w:type="gramStart"/>
      <w:r w:rsidRPr="003C1B2C">
        <w:rPr>
          <w:rFonts w:ascii="Verdana" w:eastAsia="Times New Roman" w:hAnsi="Verdana" w:cs="Times New Roman"/>
          <w:sz w:val="20"/>
          <w:szCs w:val="20"/>
        </w:rPr>
        <w:t>judge.—</w:t>
      </w:r>
      <w:proofErr w:type="gramEnd"/>
      <w:r w:rsidRPr="003C1B2C">
        <w:rPr>
          <w:rFonts w:ascii="Verdana" w:eastAsia="Times New Roman" w:hAnsi="Verdana" w:cs="Times New Roman"/>
          <w:sz w:val="20"/>
          <w:szCs w:val="20"/>
        </w:rPr>
        <w:t>No judge shall be disqualified in any validation action because the judge is a landowner or taxpayer of any county, municipality, or district seeking relief hereunder.</w:t>
      </w:r>
    </w:p>
    <w:p w14:paraId="7356F469" w14:textId="77777777" w:rsidR="003C1B2C" w:rsidRPr="003C1B2C" w:rsidRDefault="003C1B2C" w:rsidP="003C1B2C">
      <w:pPr>
        <w:spacing w:after="0" w:line="240" w:lineRule="auto"/>
        <w:rPr>
          <w:rFonts w:ascii="Verdana" w:eastAsia="Times New Roman" w:hAnsi="Verdana" w:cs="Times New Roman"/>
          <w:sz w:val="20"/>
          <w:szCs w:val="20"/>
        </w:rPr>
      </w:pPr>
      <w:proofErr w:type="gramStart"/>
      <w:r w:rsidRPr="003C1B2C">
        <w:rPr>
          <w:rFonts w:ascii="Verdana" w:eastAsia="Times New Roman" w:hAnsi="Verdana" w:cs="Times New Roman"/>
          <w:sz w:val="20"/>
          <w:szCs w:val="20"/>
        </w:rPr>
        <w:t>History.—</w:t>
      </w:r>
      <w:proofErr w:type="gramEnd"/>
      <w:r w:rsidRPr="003C1B2C">
        <w:rPr>
          <w:rFonts w:ascii="Verdana" w:eastAsia="Times New Roman" w:hAnsi="Verdana" w:cs="Times New Roman"/>
          <w:sz w:val="20"/>
          <w:szCs w:val="20"/>
        </w:rPr>
        <w:t xml:space="preserve">s. 1,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10164; 1925; CGL 5118; s. 25,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67-254; s. 368,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95-147.</w:t>
      </w:r>
    </w:p>
    <w:p w14:paraId="69EB5EEC" w14:textId="77777777" w:rsidR="003C1B2C" w:rsidRPr="003C1B2C" w:rsidRDefault="003C1B2C" w:rsidP="003C1B2C">
      <w:pPr>
        <w:spacing w:after="0" w:line="240" w:lineRule="auto"/>
        <w:rPr>
          <w:rFonts w:ascii="Verdana" w:eastAsia="Times New Roman" w:hAnsi="Verdana" w:cs="Times New Roman"/>
          <w:sz w:val="20"/>
          <w:szCs w:val="20"/>
        </w:rPr>
      </w:pPr>
      <w:r w:rsidRPr="003C1B2C">
        <w:rPr>
          <w:rFonts w:ascii="Verdana" w:eastAsia="Times New Roman" w:hAnsi="Verdana" w:cs="Times New Roman"/>
          <w:sz w:val="20"/>
          <w:szCs w:val="20"/>
        </w:rPr>
        <w:t>75.16</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Certain orders and decrees validated.—All orders, decrees, and judgments heretofore or hereafter made in actions for the validation of bonds or certificates of indebtedness by any judge disqualified by matters not apparent on the record are valid and binding on all parties unless attacked within 20 days of the entry thereof; and all orders, decrees, and judgments heretofore made in such validation actions by judges other than the regular judge or those mentioned or designated in the notices, or at places other than, or dates subsequent to, those mentioned in said notices, when it appears that the regular judge was disqualified, absent, or disabled from discharging the duties of his or her office, are hereby ratified.</w:t>
      </w:r>
    </w:p>
    <w:p w14:paraId="05A56A77" w14:textId="77777777" w:rsidR="003C1B2C" w:rsidRPr="003C1B2C" w:rsidRDefault="003C1B2C" w:rsidP="003C1B2C">
      <w:pPr>
        <w:spacing w:after="0" w:line="240" w:lineRule="auto"/>
        <w:rPr>
          <w:rFonts w:ascii="Verdana" w:eastAsia="Times New Roman" w:hAnsi="Verdana" w:cs="Times New Roman"/>
          <w:sz w:val="20"/>
          <w:szCs w:val="20"/>
        </w:rPr>
      </w:pPr>
      <w:proofErr w:type="gramStart"/>
      <w:r w:rsidRPr="003C1B2C">
        <w:rPr>
          <w:rFonts w:ascii="Verdana" w:eastAsia="Times New Roman" w:hAnsi="Verdana" w:cs="Times New Roman"/>
          <w:sz w:val="20"/>
          <w:szCs w:val="20"/>
        </w:rPr>
        <w:t>History.—</w:t>
      </w:r>
      <w:proofErr w:type="gramEnd"/>
      <w:r w:rsidRPr="003C1B2C">
        <w:rPr>
          <w:rFonts w:ascii="Verdana" w:eastAsia="Times New Roman" w:hAnsi="Verdana" w:cs="Times New Roman"/>
          <w:sz w:val="20"/>
          <w:szCs w:val="20"/>
        </w:rPr>
        <w:t xml:space="preserve">s. 3,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10164, 1925; s. 2,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12066, 1927; CGL 5120, 5122; s. 25,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67-254; s. 369, </w:t>
      </w:r>
      <w:proofErr w:type="spellStart"/>
      <w:r w:rsidRPr="003C1B2C">
        <w:rPr>
          <w:rFonts w:ascii="Verdana" w:eastAsia="Times New Roman" w:hAnsi="Verdana" w:cs="Times New Roman"/>
          <w:sz w:val="20"/>
          <w:szCs w:val="20"/>
        </w:rPr>
        <w:t>ch.</w:t>
      </w:r>
      <w:proofErr w:type="spellEnd"/>
      <w:r w:rsidRPr="003C1B2C">
        <w:rPr>
          <w:rFonts w:ascii="Verdana" w:eastAsia="Times New Roman" w:hAnsi="Verdana" w:cs="Times New Roman"/>
          <w:sz w:val="20"/>
          <w:szCs w:val="20"/>
        </w:rPr>
        <w:t xml:space="preserve"> 95-147.</w:t>
      </w:r>
    </w:p>
    <w:p w14:paraId="35F20BD5" w14:textId="77777777" w:rsidR="003C1B2C" w:rsidRPr="003C1B2C" w:rsidRDefault="003C1B2C" w:rsidP="003C1B2C">
      <w:pPr>
        <w:spacing w:after="0" w:line="240" w:lineRule="auto"/>
        <w:rPr>
          <w:rFonts w:ascii="Verdana" w:eastAsia="Times New Roman" w:hAnsi="Verdana" w:cs="Times New Roman"/>
          <w:sz w:val="20"/>
          <w:szCs w:val="20"/>
        </w:rPr>
      </w:pPr>
      <w:r w:rsidRPr="003C1B2C">
        <w:rPr>
          <w:rFonts w:ascii="Verdana" w:eastAsia="Times New Roman" w:hAnsi="Verdana" w:cs="Times New Roman"/>
          <w:sz w:val="20"/>
          <w:szCs w:val="20"/>
        </w:rPr>
        <w:t>75.17</w:t>
      </w:r>
      <w:r w:rsidRPr="003C1B2C">
        <w:rPr>
          <w:rFonts w:ascii="Verdana" w:eastAsia="Times New Roman" w:hAnsi="Verdana" w:cs="Times New Roman"/>
          <w:sz w:val="20"/>
          <w:szCs w:val="20"/>
        </w:rPr>
        <w:t> </w:t>
      </w:r>
      <w:r w:rsidRPr="003C1B2C">
        <w:rPr>
          <w:rFonts w:ascii="Verdana" w:eastAsia="Times New Roman" w:hAnsi="Verdana" w:cs="Times New Roman"/>
          <w:sz w:val="20"/>
          <w:szCs w:val="20"/>
        </w:rPr>
        <w:t>Commencement of action after validation; affidavit of good faith.—Every person who commences an action as taxpayer or otherwise to challenge the validity of any bonds or certificates or to prevent the use of any moneys derived from the sale of the bonds or certificates after the bonds or certificates have been validated by courts of competent jurisdiction pursuant to this chapter, shall file an affidavit of good faith stating that the action is not filed for delay and setting forth with particularity why the objection was not made as part of the validation action.</w:t>
      </w:r>
    </w:p>
    <w:p w14:paraId="0096FAC8" w14:textId="77777777" w:rsidR="003C1B2C" w:rsidRPr="003C1B2C" w:rsidRDefault="003C1B2C" w:rsidP="003C1B2C">
      <w:pPr>
        <w:spacing w:after="0" w:line="240" w:lineRule="auto"/>
        <w:rPr>
          <w:rFonts w:ascii="Times New Roman" w:eastAsia="Times New Roman" w:hAnsi="Times New Roman" w:cs="Times New Roman"/>
          <w:sz w:val="24"/>
          <w:szCs w:val="24"/>
          <w:u w:val="single"/>
        </w:rPr>
      </w:pPr>
      <w:bookmarkStart w:id="3" w:name="_GoBack"/>
      <w:bookmarkEnd w:id="3"/>
    </w:p>
    <w:p w14:paraId="2238D5E3" w14:textId="77777777" w:rsidR="0073621D" w:rsidRPr="00E63FF2" w:rsidRDefault="0073621D" w:rsidP="00E63FF2">
      <w:pPr>
        <w:spacing w:after="0" w:line="240" w:lineRule="auto"/>
        <w:rPr>
          <w:rFonts w:ascii="Times New Roman" w:eastAsia="Times New Roman" w:hAnsi="Times New Roman" w:cs="Times New Roman"/>
          <w:sz w:val="24"/>
          <w:szCs w:val="24"/>
        </w:rPr>
      </w:pPr>
    </w:p>
    <w:p w14:paraId="31530DBA" w14:textId="77777777" w:rsidR="00E63FF2" w:rsidRPr="00E63FF2" w:rsidRDefault="00E63FF2" w:rsidP="00E63FF2">
      <w:pPr>
        <w:spacing w:after="0" w:line="240" w:lineRule="auto"/>
        <w:rPr>
          <w:rFonts w:ascii="Times New Roman" w:eastAsia="Times New Roman" w:hAnsi="Times New Roman" w:cs="Times New Roman"/>
          <w:sz w:val="24"/>
          <w:szCs w:val="24"/>
        </w:rPr>
      </w:pPr>
    </w:p>
    <w:p w14:paraId="05315394" w14:textId="77777777" w:rsidR="00306F78" w:rsidRPr="00306F78" w:rsidRDefault="00306F78"/>
    <w:sectPr w:rsidR="00306F78" w:rsidRPr="00306F78">
      <w:head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958295" w14:textId="77777777" w:rsidR="00501B6E" w:rsidRDefault="00501B6E" w:rsidP="00306F78">
      <w:pPr>
        <w:spacing w:after="0" w:line="240" w:lineRule="auto"/>
      </w:pPr>
      <w:r>
        <w:separator/>
      </w:r>
    </w:p>
  </w:endnote>
  <w:endnote w:type="continuationSeparator" w:id="0">
    <w:p w14:paraId="5738FDFD" w14:textId="77777777" w:rsidR="00501B6E" w:rsidRDefault="00501B6E" w:rsidP="00306F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10DEE2" w14:textId="77777777" w:rsidR="00501B6E" w:rsidRDefault="00501B6E" w:rsidP="00306F78">
      <w:pPr>
        <w:spacing w:after="0" w:line="240" w:lineRule="auto"/>
      </w:pPr>
      <w:r>
        <w:separator/>
      </w:r>
    </w:p>
  </w:footnote>
  <w:footnote w:type="continuationSeparator" w:id="0">
    <w:p w14:paraId="2D52B0ED" w14:textId="77777777" w:rsidR="00501B6E" w:rsidRDefault="00501B6E" w:rsidP="00306F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849EC8" w14:textId="7A28C11A" w:rsidR="00306F78" w:rsidRDefault="00306F78">
    <w:pPr>
      <w:pStyle w:val="Header"/>
    </w:pPr>
    <w:r>
      <w:t>Certification Exam Study Guide</w:t>
    </w:r>
  </w:p>
  <w:p w14:paraId="0884EB59" w14:textId="690AFA32" w:rsidR="00306F78" w:rsidRDefault="00306F78">
    <w:pPr>
      <w:pStyle w:val="Header"/>
    </w:pPr>
    <w:r>
      <w:t>Public Finance</w:t>
    </w:r>
  </w:p>
  <w:p w14:paraId="652D2D39" w14:textId="11E8CF90" w:rsidR="00306F78" w:rsidRDefault="00306F78">
    <w:pPr>
      <w:pStyle w:val="Header"/>
    </w:pPr>
    <w:r>
      <w:t xml:space="preserve">Page </w:t>
    </w:r>
    <w:r>
      <w:rPr>
        <w:b/>
        <w:bCs/>
      </w:rPr>
      <w:fldChar w:fldCharType="begin"/>
    </w:r>
    <w:r>
      <w:rPr>
        <w:b/>
        <w:bCs/>
      </w:rPr>
      <w:instrText xml:space="preserve"> PAGE  \* Arabic  \* MERGEFORMAT </w:instrText>
    </w:r>
    <w:r>
      <w:rPr>
        <w:b/>
        <w:bCs/>
      </w:rPr>
      <w:fldChar w:fldCharType="separate"/>
    </w:r>
    <w:r>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Pr>
        <w:b/>
        <w:bCs/>
        <w:noProof/>
      </w:rPr>
      <w:t>2</w:t>
    </w:r>
    <w:r>
      <w:rPr>
        <w:b/>
        <w:bCs/>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452D01"/>
    <w:multiLevelType w:val="hybridMultilevel"/>
    <w:tmpl w:val="8B443C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E72E05"/>
    <w:multiLevelType w:val="hybridMultilevel"/>
    <w:tmpl w:val="5D38B5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4907784"/>
    <w:multiLevelType w:val="hybridMultilevel"/>
    <w:tmpl w:val="B5203C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6F78"/>
    <w:rsid w:val="00064462"/>
    <w:rsid w:val="001D2028"/>
    <w:rsid w:val="001D7E1E"/>
    <w:rsid w:val="00306F78"/>
    <w:rsid w:val="003C1B2C"/>
    <w:rsid w:val="004F4B72"/>
    <w:rsid w:val="00501B6E"/>
    <w:rsid w:val="0073621D"/>
    <w:rsid w:val="00855116"/>
    <w:rsid w:val="00BF7D29"/>
    <w:rsid w:val="00D947EC"/>
    <w:rsid w:val="00E63FF2"/>
    <w:rsid w:val="00F326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06F86D"/>
  <w15:chartTrackingRefBased/>
  <w15:docId w15:val="{D054788E-BEFC-4F75-AD41-FCBED05E13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06F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6F78"/>
  </w:style>
  <w:style w:type="paragraph" w:styleId="Footer">
    <w:name w:val="footer"/>
    <w:basedOn w:val="Normal"/>
    <w:link w:val="FooterChar"/>
    <w:uiPriority w:val="99"/>
    <w:unhideWhenUsed/>
    <w:rsid w:val="00306F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6F78"/>
  </w:style>
  <w:style w:type="character" w:customStyle="1" w:styleId="sectionnumber">
    <w:name w:val="sectionnumber"/>
    <w:basedOn w:val="DefaultParagraphFont"/>
    <w:rsid w:val="00306F78"/>
  </w:style>
  <w:style w:type="character" w:customStyle="1" w:styleId="catchlinetext">
    <w:name w:val="catchlinetext"/>
    <w:basedOn w:val="DefaultParagraphFont"/>
    <w:rsid w:val="00306F78"/>
  </w:style>
  <w:style w:type="character" w:customStyle="1" w:styleId="emdash">
    <w:name w:val="emdash"/>
    <w:basedOn w:val="DefaultParagraphFont"/>
    <w:rsid w:val="00306F78"/>
  </w:style>
  <w:style w:type="character" w:customStyle="1" w:styleId="sectionbody">
    <w:name w:val="sectionbody"/>
    <w:basedOn w:val="DefaultParagraphFont"/>
    <w:rsid w:val="00306F78"/>
  </w:style>
  <w:style w:type="character" w:customStyle="1" w:styleId="text">
    <w:name w:val="text"/>
    <w:basedOn w:val="DefaultParagraphFont"/>
    <w:rsid w:val="00306F78"/>
  </w:style>
  <w:style w:type="character" w:customStyle="1" w:styleId="id">
    <w:name w:val="id"/>
    <w:basedOn w:val="DefaultParagraphFont"/>
    <w:rsid w:val="00306F78"/>
  </w:style>
  <w:style w:type="paragraph" w:styleId="ListParagraph">
    <w:name w:val="List Paragraph"/>
    <w:basedOn w:val="Normal"/>
    <w:uiPriority w:val="34"/>
    <w:qFormat/>
    <w:rsid w:val="001D2028"/>
    <w:pPr>
      <w:ind w:left="720"/>
      <w:contextualSpacing/>
    </w:pPr>
  </w:style>
  <w:style w:type="character" w:styleId="Hyperlink">
    <w:name w:val="Hyperlink"/>
    <w:basedOn w:val="DefaultParagraphFont"/>
    <w:uiPriority w:val="99"/>
    <w:semiHidden/>
    <w:unhideWhenUsed/>
    <w:rsid w:val="001D2028"/>
    <w:rPr>
      <w:color w:val="0000FF"/>
      <w:u w:val="single"/>
    </w:rPr>
  </w:style>
  <w:style w:type="character" w:customStyle="1" w:styleId="catchline">
    <w:name w:val="catchline"/>
    <w:basedOn w:val="DefaultParagraphFont"/>
    <w:rsid w:val="003C1B2C"/>
  </w:style>
  <w:style w:type="character" w:customStyle="1" w:styleId="historytitle">
    <w:name w:val="historytitle"/>
    <w:basedOn w:val="DefaultParagraphFont"/>
    <w:rsid w:val="003C1B2C"/>
  </w:style>
  <w:style w:type="character" w:customStyle="1" w:styleId="historytext">
    <w:name w:val="historytext"/>
    <w:basedOn w:val="DefaultParagraphFont"/>
    <w:rsid w:val="003C1B2C"/>
  </w:style>
  <w:style w:type="character" w:customStyle="1" w:styleId="number">
    <w:name w:val="number"/>
    <w:basedOn w:val="DefaultParagraphFont"/>
    <w:rsid w:val="003C1B2C"/>
  </w:style>
  <w:style w:type="paragraph" w:customStyle="1" w:styleId="flush">
    <w:name w:val="flush"/>
    <w:basedOn w:val="Normal"/>
    <w:rsid w:val="003C1B2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orizontalrule">
    <w:name w:val="horizontalrule"/>
    <w:basedOn w:val="DefaultParagraphFont"/>
    <w:rsid w:val="003C1B2C"/>
  </w:style>
  <w:style w:type="character" w:customStyle="1" w:styleId="directions">
    <w:name w:val="directions"/>
    <w:basedOn w:val="DefaultParagraphFont"/>
    <w:rsid w:val="003C1B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9898184">
      <w:bodyDiv w:val="1"/>
      <w:marLeft w:val="0"/>
      <w:marRight w:val="0"/>
      <w:marTop w:val="0"/>
      <w:marBottom w:val="0"/>
      <w:divBdr>
        <w:top w:val="none" w:sz="0" w:space="0" w:color="auto"/>
        <w:left w:val="none" w:sz="0" w:space="0" w:color="auto"/>
        <w:bottom w:val="none" w:sz="0" w:space="0" w:color="auto"/>
        <w:right w:val="none" w:sz="0" w:space="0" w:color="auto"/>
      </w:divBdr>
      <w:divsChild>
        <w:div w:id="138156128">
          <w:marLeft w:val="0"/>
          <w:marRight w:val="0"/>
          <w:marTop w:val="0"/>
          <w:marBottom w:val="0"/>
          <w:divBdr>
            <w:top w:val="none" w:sz="0" w:space="0" w:color="auto"/>
            <w:left w:val="none" w:sz="0" w:space="0" w:color="auto"/>
            <w:bottom w:val="none" w:sz="0" w:space="0" w:color="auto"/>
            <w:right w:val="none" w:sz="0" w:space="0" w:color="auto"/>
          </w:divBdr>
        </w:div>
        <w:div w:id="575936519">
          <w:marLeft w:val="0"/>
          <w:marRight w:val="0"/>
          <w:marTop w:val="0"/>
          <w:marBottom w:val="0"/>
          <w:divBdr>
            <w:top w:val="none" w:sz="0" w:space="0" w:color="auto"/>
            <w:left w:val="none" w:sz="0" w:space="0" w:color="auto"/>
            <w:bottom w:val="none" w:sz="0" w:space="0" w:color="auto"/>
            <w:right w:val="none" w:sz="0" w:space="0" w:color="auto"/>
          </w:divBdr>
        </w:div>
        <w:div w:id="1279290700">
          <w:marLeft w:val="0"/>
          <w:marRight w:val="0"/>
          <w:marTop w:val="0"/>
          <w:marBottom w:val="0"/>
          <w:divBdr>
            <w:top w:val="none" w:sz="0" w:space="0" w:color="auto"/>
            <w:left w:val="none" w:sz="0" w:space="0" w:color="auto"/>
            <w:bottom w:val="none" w:sz="0" w:space="0" w:color="auto"/>
            <w:right w:val="none" w:sz="0" w:space="0" w:color="auto"/>
          </w:divBdr>
        </w:div>
      </w:divsChild>
    </w:div>
    <w:div w:id="1330209678">
      <w:bodyDiv w:val="1"/>
      <w:marLeft w:val="0"/>
      <w:marRight w:val="0"/>
      <w:marTop w:val="0"/>
      <w:marBottom w:val="0"/>
      <w:divBdr>
        <w:top w:val="none" w:sz="0" w:space="0" w:color="auto"/>
        <w:left w:val="none" w:sz="0" w:space="0" w:color="auto"/>
        <w:bottom w:val="none" w:sz="0" w:space="0" w:color="auto"/>
        <w:right w:val="none" w:sz="0" w:space="0" w:color="auto"/>
      </w:divBdr>
      <w:divsChild>
        <w:div w:id="1862015777">
          <w:marLeft w:val="0"/>
          <w:marRight w:val="0"/>
          <w:marTop w:val="0"/>
          <w:marBottom w:val="0"/>
          <w:divBdr>
            <w:top w:val="none" w:sz="0" w:space="0" w:color="auto"/>
            <w:left w:val="none" w:sz="0" w:space="0" w:color="auto"/>
            <w:bottom w:val="none" w:sz="0" w:space="0" w:color="auto"/>
            <w:right w:val="none" w:sz="0" w:space="0" w:color="auto"/>
          </w:divBdr>
        </w:div>
        <w:div w:id="1515194427">
          <w:marLeft w:val="0"/>
          <w:marRight w:val="0"/>
          <w:marTop w:val="0"/>
          <w:marBottom w:val="0"/>
          <w:divBdr>
            <w:top w:val="none" w:sz="0" w:space="0" w:color="auto"/>
            <w:left w:val="none" w:sz="0" w:space="0" w:color="auto"/>
            <w:bottom w:val="none" w:sz="0" w:space="0" w:color="auto"/>
            <w:right w:val="none" w:sz="0" w:space="0" w:color="auto"/>
          </w:divBdr>
        </w:div>
      </w:divsChild>
    </w:div>
    <w:div w:id="1533297660">
      <w:bodyDiv w:val="1"/>
      <w:marLeft w:val="0"/>
      <w:marRight w:val="0"/>
      <w:marTop w:val="0"/>
      <w:marBottom w:val="0"/>
      <w:divBdr>
        <w:top w:val="none" w:sz="0" w:space="0" w:color="auto"/>
        <w:left w:val="none" w:sz="0" w:space="0" w:color="auto"/>
        <w:bottom w:val="none" w:sz="0" w:space="0" w:color="auto"/>
        <w:right w:val="none" w:sz="0" w:space="0" w:color="auto"/>
      </w:divBdr>
      <w:divsChild>
        <w:div w:id="1979795194">
          <w:marLeft w:val="0"/>
          <w:marRight w:val="0"/>
          <w:marTop w:val="0"/>
          <w:marBottom w:val="0"/>
          <w:divBdr>
            <w:top w:val="none" w:sz="0" w:space="0" w:color="auto"/>
            <w:left w:val="none" w:sz="0" w:space="0" w:color="auto"/>
            <w:bottom w:val="none" w:sz="0" w:space="0" w:color="auto"/>
            <w:right w:val="none" w:sz="0" w:space="0" w:color="auto"/>
          </w:divBdr>
        </w:div>
        <w:div w:id="279849093">
          <w:marLeft w:val="0"/>
          <w:marRight w:val="0"/>
          <w:marTop w:val="0"/>
          <w:marBottom w:val="0"/>
          <w:divBdr>
            <w:top w:val="none" w:sz="0" w:space="0" w:color="auto"/>
            <w:left w:val="none" w:sz="0" w:space="0" w:color="auto"/>
            <w:bottom w:val="none" w:sz="0" w:space="0" w:color="auto"/>
            <w:right w:val="none" w:sz="0" w:space="0" w:color="auto"/>
          </w:divBdr>
        </w:div>
        <w:div w:id="132916280">
          <w:marLeft w:val="0"/>
          <w:marRight w:val="0"/>
          <w:marTop w:val="0"/>
          <w:marBottom w:val="0"/>
          <w:divBdr>
            <w:top w:val="none" w:sz="0" w:space="0" w:color="auto"/>
            <w:left w:val="none" w:sz="0" w:space="0" w:color="auto"/>
            <w:bottom w:val="none" w:sz="0" w:space="0" w:color="auto"/>
            <w:right w:val="none" w:sz="0" w:space="0" w:color="auto"/>
          </w:divBdr>
        </w:div>
        <w:div w:id="2061200083">
          <w:marLeft w:val="0"/>
          <w:marRight w:val="0"/>
          <w:marTop w:val="0"/>
          <w:marBottom w:val="0"/>
          <w:divBdr>
            <w:top w:val="none" w:sz="0" w:space="0" w:color="auto"/>
            <w:left w:val="none" w:sz="0" w:space="0" w:color="auto"/>
            <w:bottom w:val="none" w:sz="0" w:space="0" w:color="auto"/>
            <w:right w:val="none" w:sz="0" w:space="0" w:color="auto"/>
          </w:divBdr>
        </w:div>
      </w:divsChild>
    </w:div>
    <w:div w:id="1631277487">
      <w:bodyDiv w:val="1"/>
      <w:marLeft w:val="0"/>
      <w:marRight w:val="0"/>
      <w:marTop w:val="0"/>
      <w:marBottom w:val="0"/>
      <w:divBdr>
        <w:top w:val="none" w:sz="0" w:space="0" w:color="auto"/>
        <w:left w:val="none" w:sz="0" w:space="0" w:color="auto"/>
        <w:bottom w:val="none" w:sz="0" w:space="0" w:color="auto"/>
        <w:right w:val="none" w:sz="0" w:space="0" w:color="auto"/>
      </w:divBdr>
      <w:divsChild>
        <w:div w:id="23679763">
          <w:marLeft w:val="0"/>
          <w:marRight w:val="0"/>
          <w:marTop w:val="0"/>
          <w:marBottom w:val="0"/>
          <w:divBdr>
            <w:top w:val="none" w:sz="0" w:space="0" w:color="auto"/>
            <w:left w:val="none" w:sz="0" w:space="0" w:color="auto"/>
            <w:bottom w:val="none" w:sz="0" w:space="0" w:color="auto"/>
            <w:right w:val="none" w:sz="0" w:space="0" w:color="auto"/>
          </w:divBdr>
          <w:divsChild>
            <w:div w:id="1119884318">
              <w:marLeft w:val="0"/>
              <w:marRight w:val="0"/>
              <w:marTop w:val="0"/>
              <w:marBottom w:val="0"/>
              <w:divBdr>
                <w:top w:val="none" w:sz="0" w:space="0" w:color="auto"/>
                <w:left w:val="none" w:sz="0" w:space="0" w:color="auto"/>
                <w:bottom w:val="none" w:sz="0" w:space="0" w:color="auto"/>
                <w:right w:val="none" w:sz="0" w:space="0" w:color="auto"/>
              </w:divBdr>
            </w:div>
            <w:div w:id="1547451126">
              <w:marLeft w:val="0"/>
              <w:marRight w:val="0"/>
              <w:marTop w:val="0"/>
              <w:marBottom w:val="0"/>
              <w:divBdr>
                <w:top w:val="none" w:sz="0" w:space="0" w:color="auto"/>
                <w:left w:val="none" w:sz="0" w:space="0" w:color="auto"/>
                <w:bottom w:val="none" w:sz="0" w:space="0" w:color="auto"/>
                <w:right w:val="none" w:sz="0" w:space="0" w:color="auto"/>
              </w:divBdr>
            </w:div>
          </w:divsChild>
        </w:div>
        <w:div w:id="1751343962">
          <w:marLeft w:val="0"/>
          <w:marRight w:val="0"/>
          <w:marTop w:val="0"/>
          <w:marBottom w:val="0"/>
          <w:divBdr>
            <w:top w:val="none" w:sz="0" w:space="0" w:color="auto"/>
            <w:left w:val="none" w:sz="0" w:space="0" w:color="auto"/>
            <w:bottom w:val="none" w:sz="0" w:space="0" w:color="auto"/>
            <w:right w:val="none" w:sz="0" w:space="0" w:color="auto"/>
          </w:divBdr>
          <w:divsChild>
            <w:div w:id="448202786">
              <w:marLeft w:val="0"/>
              <w:marRight w:val="0"/>
              <w:marTop w:val="0"/>
              <w:marBottom w:val="0"/>
              <w:divBdr>
                <w:top w:val="none" w:sz="0" w:space="0" w:color="auto"/>
                <w:left w:val="none" w:sz="0" w:space="0" w:color="auto"/>
                <w:bottom w:val="none" w:sz="0" w:space="0" w:color="auto"/>
                <w:right w:val="none" w:sz="0" w:space="0" w:color="auto"/>
              </w:divBdr>
            </w:div>
            <w:div w:id="241840720">
              <w:marLeft w:val="0"/>
              <w:marRight w:val="0"/>
              <w:marTop w:val="0"/>
              <w:marBottom w:val="0"/>
              <w:divBdr>
                <w:top w:val="none" w:sz="0" w:space="0" w:color="auto"/>
                <w:left w:val="none" w:sz="0" w:space="0" w:color="auto"/>
                <w:bottom w:val="none" w:sz="0" w:space="0" w:color="auto"/>
                <w:right w:val="none" w:sz="0" w:space="0" w:color="auto"/>
              </w:divBdr>
            </w:div>
            <w:div w:id="892733707">
              <w:marLeft w:val="0"/>
              <w:marRight w:val="0"/>
              <w:marTop w:val="0"/>
              <w:marBottom w:val="0"/>
              <w:divBdr>
                <w:top w:val="none" w:sz="0" w:space="0" w:color="auto"/>
                <w:left w:val="none" w:sz="0" w:space="0" w:color="auto"/>
                <w:bottom w:val="none" w:sz="0" w:space="0" w:color="auto"/>
                <w:right w:val="none" w:sz="0" w:space="0" w:color="auto"/>
              </w:divBdr>
            </w:div>
            <w:div w:id="13768264">
              <w:marLeft w:val="0"/>
              <w:marRight w:val="0"/>
              <w:marTop w:val="0"/>
              <w:marBottom w:val="0"/>
              <w:divBdr>
                <w:top w:val="none" w:sz="0" w:space="0" w:color="auto"/>
                <w:left w:val="none" w:sz="0" w:space="0" w:color="auto"/>
                <w:bottom w:val="none" w:sz="0" w:space="0" w:color="auto"/>
                <w:right w:val="none" w:sz="0" w:space="0" w:color="auto"/>
              </w:divBdr>
            </w:div>
            <w:div w:id="1575772292">
              <w:marLeft w:val="0"/>
              <w:marRight w:val="0"/>
              <w:marTop w:val="0"/>
              <w:marBottom w:val="0"/>
              <w:divBdr>
                <w:top w:val="none" w:sz="0" w:space="0" w:color="auto"/>
                <w:left w:val="none" w:sz="0" w:space="0" w:color="auto"/>
                <w:bottom w:val="none" w:sz="0" w:space="0" w:color="auto"/>
                <w:right w:val="none" w:sz="0" w:space="0" w:color="auto"/>
              </w:divBdr>
            </w:div>
            <w:div w:id="1315142671">
              <w:marLeft w:val="0"/>
              <w:marRight w:val="0"/>
              <w:marTop w:val="0"/>
              <w:marBottom w:val="0"/>
              <w:divBdr>
                <w:top w:val="none" w:sz="0" w:space="0" w:color="auto"/>
                <w:left w:val="none" w:sz="0" w:space="0" w:color="auto"/>
                <w:bottom w:val="none" w:sz="0" w:space="0" w:color="auto"/>
                <w:right w:val="none" w:sz="0" w:space="0" w:color="auto"/>
              </w:divBdr>
            </w:div>
            <w:div w:id="87696490">
              <w:marLeft w:val="0"/>
              <w:marRight w:val="0"/>
              <w:marTop w:val="0"/>
              <w:marBottom w:val="0"/>
              <w:divBdr>
                <w:top w:val="none" w:sz="0" w:space="0" w:color="auto"/>
                <w:left w:val="none" w:sz="0" w:space="0" w:color="auto"/>
                <w:bottom w:val="none" w:sz="0" w:space="0" w:color="auto"/>
                <w:right w:val="none" w:sz="0" w:space="0" w:color="auto"/>
              </w:divBdr>
            </w:div>
            <w:div w:id="2107798573">
              <w:marLeft w:val="0"/>
              <w:marRight w:val="0"/>
              <w:marTop w:val="0"/>
              <w:marBottom w:val="0"/>
              <w:divBdr>
                <w:top w:val="none" w:sz="0" w:space="0" w:color="auto"/>
                <w:left w:val="none" w:sz="0" w:space="0" w:color="auto"/>
                <w:bottom w:val="none" w:sz="0" w:space="0" w:color="auto"/>
                <w:right w:val="none" w:sz="0" w:space="0" w:color="auto"/>
              </w:divBdr>
            </w:div>
            <w:div w:id="395931604">
              <w:marLeft w:val="0"/>
              <w:marRight w:val="0"/>
              <w:marTop w:val="0"/>
              <w:marBottom w:val="0"/>
              <w:divBdr>
                <w:top w:val="none" w:sz="0" w:space="0" w:color="auto"/>
                <w:left w:val="none" w:sz="0" w:space="0" w:color="auto"/>
                <w:bottom w:val="none" w:sz="0" w:space="0" w:color="auto"/>
                <w:right w:val="none" w:sz="0" w:space="0" w:color="auto"/>
              </w:divBdr>
            </w:div>
            <w:div w:id="897859245">
              <w:marLeft w:val="0"/>
              <w:marRight w:val="0"/>
              <w:marTop w:val="0"/>
              <w:marBottom w:val="0"/>
              <w:divBdr>
                <w:top w:val="none" w:sz="0" w:space="0" w:color="auto"/>
                <w:left w:val="none" w:sz="0" w:space="0" w:color="auto"/>
                <w:bottom w:val="none" w:sz="0" w:space="0" w:color="auto"/>
                <w:right w:val="none" w:sz="0" w:space="0" w:color="auto"/>
              </w:divBdr>
            </w:div>
            <w:div w:id="2115979403">
              <w:marLeft w:val="0"/>
              <w:marRight w:val="0"/>
              <w:marTop w:val="0"/>
              <w:marBottom w:val="0"/>
              <w:divBdr>
                <w:top w:val="none" w:sz="0" w:space="0" w:color="auto"/>
                <w:left w:val="none" w:sz="0" w:space="0" w:color="auto"/>
                <w:bottom w:val="none" w:sz="0" w:space="0" w:color="auto"/>
                <w:right w:val="none" w:sz="0" w:space="0" w:color="auto"/>
              </w:divBdr>
            </w:div>
            <w:div w:id="429276806">
              <w:marLeft w:val="0"/>
              <w:marRight w:val="0"/>
              <w:marTop w:val="0"/>
              <w:marBottom w:val="0"/>
              <w:divBdr>
                <w:top w:val="none" w:sz="0" w:space="0" w:color="auto"/>
                <w:left w:val="none" w:sz="0" w:space="0" w:color="auto"/>
                <w:bottom w:val="none" w:sz="0" w:space="0" w:color="auto"/>
                <w:right w:val="none" w:sz="0" w:space="0" w:color="auto"/>
              </w:divBdr>
            </w:div>
            <w:div w:id="576087916">
              <w:marLeft w:val="0"/>
              <w:marRight w:val="0"/>
              <w:marTop w:val="0"/>
              <w:marBottom w:val="0"/>
              <w:divBdr>
                <w:top w:val="none" w:sz="0" w:space="0" w:color="auto"/>
                <w:left w:val="none" w:sz="0" w:space="0" w:color="auto"/>
                <w:bottom w:val="none" w:sz="0" w:space="0" w:color="auto"/>
                <w:right w:val="none" w:sz="0" w:space="0" w:color="auto"/>
              </w:divBdr>
            </w:div>
            <w:div w:id="893274981">
              <w:marLeft w:val="0"/>
              <w:marRight w:val="0"/>
              <w:marTop w:val="0"/>
              <w:marBottom w:val="0"/>
              <w:divBdr>
                <w:top w:val="none" w:sz="0" w:space="0" w:color="auto"/>
                <w:left w:val="none" w:sz="0" w:space="0" w:color="auto"/>
                <w:bottom w:val="none" w:sz="0" w:space="0" w:color="auto"/>
                <w:right w:val="none" w:sz="0" w:space="0" w:color="auto"/>
              </w:divBdr>
            </w:div>
            <w:div w:id="69012235">
              <w:marLeft w:val="0"/>
              <w:marRight w:val="0"/>
              <w:marTop w:val="0"/>
              <w:marBottom w:val="0"/>
              <w:divBdr>
                <w:top w:val="none" w:sz="0" w:space="0" w:color="auto"/>
                <w:left w:val="none" w:sz="0" w:space="0" w:color="auto"/>
                <w:bottom w:val="none" w:sz="0" w:space="0" w:color="auto"/>
                <w:right w:val="none" w:sz="0" w:space="0" w:color="auto"/>
              </w:divBdr>
            </w:div>
            <w:div w:id="1115950494">
              <w:marLeft w:val="0"/>
              <w:marRight w:val="0"/>
              <w:marTop w:val="0"/>
              <w:marBottom w:val="0"/>
              <w:divBdr>
                <w:top w:val="none" w:sz="0" w:space="0" w:color="auto"/>
                <w:left w:val="none" w:sz="0" w:space="0" w:color="auto"/>
                <w:bottom w:val="none" w:sz="0" w:space="0" w:color="auto"/>
                <w:right w:val="none" w:sz="0" w:space="0" w:color="auto"/>
              </w:divBdr>
            </w:div>
          </w:divsChild>
        </w:div>
        <w:div w:id="514274917">
          <w:marLeft w:val="0"/>
          <w:marRight w:val="0"/>
          <w:marTop w:val="0"/>
          <w:marBottom w:val="0"/>
          <w:divBdr>
            <w:top w:val="none" w:sz="0" w:space="0" w:color="auto"/>
            <w:left w:val="none" w:sz="0" w:space="0" w:color="auto"/>
            <w:bottom w:val="none" w:sz="0" w:space="0" w:color="auto"/>
            <w:right w:val="none" w:sz="0" w:space="0" w:color="auto"/>
          </w:divBdr>
          <w:divsChild>
            <w:div w:id="372274015">
              <w:marLeft w:val="0"/>
              <w:marRight w:val="0"/>
              <w:marTop w:val="0"/>
              <w:marBottom w:val="0"/>
              <w:divBdr>
                <w:top w:val="none" w:sz="0" w:space="0" w:color="auto"/>
                <w:left w:val="none" w:sz="0" w:space="0" w:color="auto"/>
                <w:bottom w:val="none" w:sz="0" w:space="0" w:color="auto"/>
                <w:right w:val="none" w:sz="0" w:space="0" w:color="auto"/>
              </w:divBdr>
            </w:div>
          </w:divsChild>
        </w:div>
        <w:div w:id="900292706">
          <w:marLeft w:val="0"/>
          <w:marRight w:val="0"/>
          <w:marTop w:val="0"/>
          <w:marBottom w:val="0"/>
          <w:divBdr>
            <w:top w:val="none" w:sz="0" w:space="0" w:color="auto"/>
            <w:left w:val="none" w:sz="0" w:space="0" w:color="auto"/>
            <w:bottom w:val="none" w:sz="0" w:space="0" w:color="auto"/>
            <w:right w:val="none" w:sz="0" w:space="0" w:color="auto"/>
          </w:divBdr>
          <w:divsChild>
            <w:div w:id="1420255177">
              <w:marLeft w:val="0"/>
              <w:marRight w:val="0"/>
              <w:marTop w:val="0"/>
              <w:marBottom w:val="0"/>
              <w:divBdr>
                <w:top w:val="none" w:sz="0" w:space="0" w:color="auto"/>
                <w:left w:val="none" w:sz="0" w:space="0" w:color="auto"/>
                <w:bottom w:val="none" w:sz="0" w:space="0" w:color="auto"/>
                <w:right w:val="none" w:sz="0" w:space="0" w:color="auto"/>
              </w:divBdr>
            </w:div>
          </w:divsChild>
        </w:div>
        <w:div w:id="390495322">
          <w:marLeft w:val="0"/>
          <w:marRight w:val="0"/>
          <w:marTop w:val="0"/>
          <w:marBottom w:val="0"/>
          <w:divBdr>
            <w:top w:val="none" w:sz="0" w:space="0" w:color="auto"/>
            <w:left w:val="none" w:sz="0" w:space="0" w:color="auto"/>
            <w:bottom w:val="none" w:sz="0" w:space="0" w:color="auto"/>
            <w:right w:val="none" w:sz="0" w:space="0" w:color="auto"/>
          </w:divBdr>
          <w:divsChild>
            <w:div w:id="1036783364">
              <w:marLeft w:val="0"/>
              <w:marRight w:val="0"/>
              <w:marTop w:val="0"/>
              <w:marBottom w:val="0"/>
              <w:divBdr>
                <w:top w:val="none" w:sz="0" w:space="0" w:color="auto"/>
                <w:left w:val="none" w:sz="0" w:space="0" w:color="auto"/>
                <w:bottom w:val="none" w:sz="0" w:space="0" w:color="auto"/>
                <w:right w:val="none" w:sz="0" w:space="0" w:color="auto"/>
              </w:divBdr>
            </w:div>
          </w:divsChild>
        </w:div>
        <w:div w:id="56514072">
          <w:marLeft w:val="0"/>
          <w:marRight w:val="0"/>
          <w:marTop w:val="0"/>
          <w:marBottom w:val="0"/>
          <w:divBdr>
            <w:top w:val="none" w:sz="0" w:space="0" w:color="auto"/>
            <w:left w:val="none" w:sz="0" w:space="0" w:color="auto"/>
            <w:bottom w:val="none" w:sz="0" w:space="0" w:color="auto"/>
            <w:right w:val="none" w:sz="0" w:space="0" w:color="auto"/>
          </w:divBdr>
          <w:divsChild>
            <w:div w:id="663557516">
              <w:marLeft w:val="0"/>
              <w:marRight w:val="0"/>
              <w:marTop w:val="0"/>
              <w:marBottom w:val="0"/>
              <w:divBdr>
                <w:top w:val="none" w:sz="0" w:space="0" w:color="auto"/>
                <w:left w:val="none" w:sz="0" w:space="0" w:color="auto"/>
                <w:bottom w:val="none" w:sz="0" w:space="0" w:color="auto"/>
                <w:right w:val="none" w:sz="0" w:space="0" w:color="auto"/>
              </w:divBdr>
            </w:div>
            <w:div w:id="623318268">
              <w:marLeft w:val="0"/>
              <w:marRight w:val="0"/>
              <w:marTop w:val="0"/>
              <w:marBottom w:val="0"/>
              <w:divBdr>
                <w:top w:val="none" w:sz="0" w:space="0" w:color="auto"/>
                <w:left w:val="none" w:sz="0" w:space="0" w:color="auto"/>
                <w:bottom w:val="none" w:sz="0" w:space="0" w:color="auto"/>
                <w:right w:val="none" w:sz="0" w:space="0" w:color="auto"/>
              </w:divBdr>
            </w:div>
            <w:div w:id="206265400">
              <w:marLeft w:val="0"/>
              <w:marRight w:val="0"/>
              <w:marTop w:val="0"/>
              <w:marBottom w:val="0"/>
              <w:divBdr>
                <w:top w:val="none" w:sz="0" w:space="0" w:color="auto"/>
                <w:left w:val="none" w:sz="0" w:space="0" w:color="auto"/>
                <w:bottom w:val="none" w:sz="0" w:space="0" w:color="auto"/>
                <w:right w:val="none" w:sz="0" w:space="0" w:color="auto"/>
              </w:divBdr>
            </w:div>
          </w:divsChild>
        </w:div>
        <w:div w:id="1389306938">
          <w:marLeft w:val="0"/>
          <w:marRight w:val="0"/>
          <w:marTop w:val="0"/>
          <w:marBottom w:val="0"/>
          <w:divBdr>
            <w:top w:val="none" w:sz="0" w:space="0" w:color="auto"/>
            <w:left w:val="none" w:sz="0" w:space="0" w:color="auto"/>
            <w:bottom w:val="none" w:sz="0" w:space="0" w:color="auto"/>
            <w:right w:val="none" w:sz="0" w:space="0" w:color="auto"/>
          </w:divBdr>
          <w:divsChild>
            <w:div w:id="1702434384">
              <w:marLeft w:val="0"/>
              <w:marRight w:val="0"/>
              <w:marTop w:val="0"/>
              <w:marBottom w:val="0"/>
              <w:divBdr>
                <w:top w:val="none" w:sz="0" w:space="0" w:color="auto"/>
                <w:left w:val="none" w:sz="0" w:space="0" w:color="auto"/>
                <w:bottom w:val="none" w:sz="0" w:space="0" w:color="auto"/>
                <w:right w:val="none" w:sz="0" w:space="0" w:color="auto"/>
              </w:divBdr>
            </w:div>
            <w:div w:id="440341819">
              <w:marLeft w:val="0"/>
              <w:marRight w:val="0"/>
              <w:marTop w:val="0"/>
              <w:marBottom w:val="0"/>
              <w:divBdr>
                <w:top w:val="none" w:sz="0" w:space="0" w:color="auto"/>
                <w:left w:val="none" w:sz="0" w:space="0" w:color="auto"/>
                <w:bottom w:val="none" w:sz="0" w:space="0" w:color="auto"/>
                <w:right w:val="none" w:sz="0" w:space="0" w:color="auto"/>
              </w:divBdr>
            </w:div>
            <w:div w:id="382758636">
              <w:marLeft w:val="0"/>
              <w:marRight w:val="0"/>
              <w:marTop w:val="0"/>
              <w:marBottom w:val="0"/>
              <w:divBdr>
                <w:top w:val="none" w:sz="0" w:space="0" w:color="auto"/>
                <w:left w:val="none" w:sz="0" w:space="0" w:color="auto"/>
                <w:bottom w:val="none" w:sz="0" w:space="0" w:color="auto"/>
                <w:right w:val="none" w:sz="0" w:space="0" w:color="auto"/>
              </w:divBdr>
            </w:div>
            <w:div w:id="56326365">
              <w:marLeft w:val="0"/>
              <w:marRight w:val="0"/>
              <w:marTop w:val="0"/>
              <w:marBottom w:val="0"/>
              <w:divBdr>
                <w:top w:val="none" w:sz="0" w:space="0" w:color="auto"/>
                <w:left w:val="none" w:sz="0" w:space="0" w:color="auto"/>
                <w:bottom w:val="none" w:sz="0" w:space="0" w:color="auto"/>
                <w:right w:val="none" w:sz="0" w:space="0" w:color="auto"/>
              </w:divBdr>
            </w:div>
          </w:divsChild>
        </w:div>
        <w:div w:id="112218134">
          <w:marLeft w:val="0"/>
          <w:marRight w:val="0"/>
          <w:marTop w:val="0"/>
          <w:marBottom w:val="0"/>
          <w:divBdr>
            <w:top w:val="none" w:sz="0" w:space="0" w:color="auto"/>
            <w:left w:val="none" w:sz="0" w:space="0" w:color="auto"/>
            <w:bottom w:val="none" w:sz="0" w:space="0" w:color="auto"/>
            <w:right w:val="none" w:sz="0" w:space="0" w:color="auto"/>
          </w:divBdr>
          <w:divsChild>
            <w:div w:id="1567449204">
              <w:marLeft w:val="0"/>
              <w:marRight w:val="0"/>
              <w:marTop w:val="0"/>
              <w:marBottom w:val="0"/>
              <w:divBdr>
                <w:top w:val="none" w:sz="0" w:space="0" w:color="auto"/>
                <w:left w:val="none" w:sz="0" w:space="0" w:color="auto"/>
                <w:bottom w:val="none" w:sz="0" w:space="0" w:color="auto"/>
                <w:right w:val="none" w:sz="0" w:space="0" w:color="auto"/>
              </w:divBdr>
            </w:div>
            <w:div w:id="1517648367">
              <w:marLeft w:val="0"/>
              <w:marRight w:val="0"/>
              <w:marTop w:val="0"/>
              <w:marBottom w:val="0"/>
              <w:divBdr>
                <w:top w:val="none" w:sz="0" w:space="0" w:color="auto"/>
                <w:left w:val="none" w:sz="0" w:space="0" w:color="auto"/>
                <w:bottom w:val="none" w:sz="0" w:space="0" w:color="auto"/>
                <w:right w:val="none" w:sz="0" w:space="0" w:color="auto"/>
              </w:divBdr>
            </w:div>
            <w:div w:id="1656031246">
              <w:marLeft w:val="0"/>
              <w:marRight w:val="0"/>
              <w:marTop w:val="0"/>
              <w:marBottom w:val="0"/>
              <w:divBdr>
                <w:top w:val="none" w:sz="0" w:space="0" w:color="auto"/>
                <w:left w:val="none" w:sz="0" w:space="0" w:color="auto"/>
                <w:bottom w:val="none" w:sz="0" w:space="0" w:color="auto"/>
                <w:right w:val="none" w:sz="0" w:space="0" w:color="auto"/>
              </w:divBdr>
            </w:div>
          </w:divsChild>
        </w:div>
        <w:div w:id="1561095852">
          <w:marLeft w:val="0"/>
          <w:marRight w:val="0"/>
          <w:marTop w:val="0"/>
          <w:marBottom w:val="0"/>
          <w:divBdr>
            <w:top w:val="none" w:sz="0" w:space="0" w:color="auto"/>
            <w:left w:val="none" w:sz="0" w:space="0" w:color="auto"/>
            <w:bottom w:val="none" w:sz="0" w:space="0" w:color="auto"/>
            <w:right w:val="none" w:sz="0" w:space="0" w:color="auto"/>
          </w:divBdr>
          <w:divsChild>
            <w:div w:id="119422459">
              <w:marLeft w:val="0"/>
              <w:marRight w:val="0"/>
              <w:marTop w:val="0"/>
              <w:marBottom w:val="0"/>
              <w:divBdr>
                <w:top w:val="none" w:sz="0" w:space="0" w:color="auto"/>
                <w:left w:val="none" w:sz="0" w:space="0" w:color="auto"/>
                <w:bottom w:val="none" w:sz="0" w:space="0" w:color="auto"/>
                <w:right w:val="none" w:sz="0" w:space="0" w:color="auto"/>
              </w:divBdr>
            </w:div>
          </w:divsChild>
        </w:div>
        <w:div w:id="750008532">
          <w:marLeft w:val="0"/>
          <w:marRight w:val="0"/>
          <w:marTop w:val="0"/>
          <w:marBottom w:val="0"/>
          <w:divBdr>
            <w:top w:val="none" w:sz="0" w:space="0" w:color="auto"/>
            <w:left w:val="none" w:sz="0" w:space="0" w:color="auto"/>
            <w:bottom w:val="none" w:sz="0" w:space="0" w:color="auto"/>
            <w:right w:val="none" w:sz="0" w:space="0" w:color="auto"/>
          </w:divBdr>
          <w:divsChild>
            <w:div w:id="1921330500">
              <w:marLeft w:val="0"/>
              <w:marRight w:val="0"/>
              <w:marTop w:val="0"/>
              <w:marBottom w:val="0"/>
              <w:divBdr>
                <w:top w:val="none" w:sz="0" w:space="0" w:color="auto"/>
                <w:left w:val="none" w:sz="0" w:space="0" w:color="auto"/>
                <w:bottom w:val="none" w:sz="0" w:space="0" w:color="auto"/>
                <w:right w:val="none" w:sz="0" w:space="0" w:color="auto"/>
              </w:divBdr>
            </w:div>
          </w:divsChild>
        </w:div>
        <w:div w:id="2097239663">
          <w:marLeft w:val="0"/>
          <w:marRight w:val="0"/>
          <w:marTop w:val="0"/>
          <w:marBottom w:val="0"/>
          <w:divBdr>
            <w:top w:val="none" w:sz="0" w:space="0" w:color="auto"/>
            <w:left w:val="none" w:sz="0" w:space="0" w:color="auto"/>
            <w:bottom w:val="none" w:sz="0" w:space="0" w:color="auto"/>
            <w:right w:val="none" w:sz="0" w:space="0" w:color="auto"/>
          </w:divBdr>
          <w:divsChild>
            <w:div w:id="1195003976">
              <w:marLeft w:val="0"/>
              <w:marRight w:val="0"/>
              <w:marTop w:val="0"/>
              <w:marBottom w:val="0"/>
              <w:divBdr>
                <w:top w:val="none" w:sz="0" w:space="0" w:color="auto"/>
                <w:left w:val="none" w:sz="0" w:space="0" w:color="auto"/>
                <w:bottom w:val="none" w:sz="0" w:space="0" w:color="auto"/>
                <w:right w:val="none" w:sz="0" w:space="0" w:color="auto"/>
              </w:divBdr>
            </w:div>
          </w:divsChild>
        </w:div>
        <w:div w:id="300891861">
          <w:marLeft w:val="0"/>
          <w:marRight w:val="0"/>
          <w:marTop w:val="0"/>
          <w:marBottom w:val="0"/>
          <w:divBdr>
            <w:top w:val="none" w:sz="0" w:space="0" w:color="auto"/>
            <w:left w:val="none" w:sz="0" w:space="0" w:color="auto"/>
            <w:bottom w:val="none" w:sz="0" w:space="0" w:color="auto"/>
            <w:right w:val="none" w:sz="0" w:space="0" w:color="auto"/>
          </w:divBdr>
          <w:divsChild>
            <w:div w:id="2099250710">
              <w:marLeft w:val="0"/>
              <w:marRight w:val="0"/>
              <w:marTop w:val="0"/>
              <w:marBottom w:val="0"/>
              <w:divBdr>
                <w:top w:val="none" w:sz="0" w:space="0" w:color="auto"/>
                <w:left w:val="none" w:sz="0" w:space="0" w:color="auto"/>
                <w:bottom w:val="none" w:sz="0" w:space="0" w:color="auto"/>
                <w:right w:val="none" w:sz="0" w:space="0" w:color="auto"/>
              </w:divBdr>
            </w:div>
          </w:divsChild>
        </w:div>
        <w:div w:id="1754625035">
          <w:marLeft w:val="0"/>
          <w:marRight w:val="0"/>
          <w:marTop w:val="0"/>
          <w:marBottom w:val="0"/>
          <w:divBdr>
            <w:top w:val="none" w:sz="0" w:space="0" w:color="auto"/>
            <w:left w:val="none" w:sz="0" w:space="0" w:color="auto"/>
            <w:bottom w:val="none" w:sz="0" w:space="0" w:color="auto"/>
            <w:right w:val="none" w:sz="0" w:space="0" w:color="auto"/>
          </w:divBdr>
          <w:divsChild>
            <w:div w:id="399909818">
              <w:marLeft w:val="0"/>
              <w:marRight w:val="0"/>
              <w:marTop w:val="0"/>
              <w:marBottom w:val="0"/>
              <w:divBdr>
                <w:top w:val="none" w:sz="0" w:space="0" w:color="auto"/>
                <w:left w:val="none" w:sz="0" w:space="0" w:color="auto"/>
                <w:bottom w:val="none" w:sz="0" w:space="0" w:color="auto"/>
                <w:right w:val="none" w:sz="0" w:space="0" w:color="auto"/>
              </w:divBdr>
            </w:div>
            <w:div w:id="639304889">
              <w:marLeft w:val="0"/>
              <w:marRight w:val="0"/>
              <w:marTop w:val="0"/>
              <w:marBottom w:val="0"/>
              <w:divBdr>
                <w:top w:val="none" w:sz="0" w:space="0" w:color="auto"/>
                <w:left w:val="none" w:sz="0" w:space="0" w:color="auto"/>
                <w:bottom w:val="none" w:sz="0" w:space="0" w:color="auto"/>
                <w:right w:val="none" w:sz="0" w:space="0" w:color="auto"/>
              </w:divBdr>
            </w:div>
            <w:div w:id="654602597">
              <w:marLeft w:val="0"/>
              <w:marRight w:val="0"/>
              <w:marTop w:val="0"/>
              <w:marBottom w:val="0"/>
              <w:divBdr>
                <w:top w:val="none" w:sz="0" w:space="0" w:color="auto"/>
                <w:left w:val="none" w:sz="0" w:space="0" w:color="auto"/>
                <w:bottom w:val="none" w:sz="0" w:space="0" w:color="auto"/>
                <w:right w:val="none" w:sz="0" w:space="0" w:color="auto"/>
              </w:divBdr>
            </w:div>
          </w:divsChild>
        </w:div>
        <w:div w:id="475874063">
          <w:marLeft w:val="0"/>
          <w:marRight w:val="0"/>
          <w:marTop w:val="0"/>
          <w:marBottom w:val="0"/>
          <w:divBdr>
            <w:top w:val="none" w:sz="0" w:space="0" w:color="auto"/>
            <w:left w:val="none" w:sz="0" w:space="0" w:color="auto"/>
            <w:bottom w:val="none" w:sz="0" w:space="0" w:color="auto"/>
            <w:right w:val="none" w:sz="0" w:space="0" w:color="auto"/>
          </w:divBdr>
          <w:divsChild>
            <w:div w:id="2014868225">
              <w:marLeft w:val="0"/>
              <w:marRight w:val="0"/>
              <w:marTop w:val="0"/>
              <w:marBottom w:val="0"/>
              <w:divBdr>
                <w:top w:val="none" w:sz="0" w:space="0" w:color="auto"/>
                <w:left w:val="none" w:sz="0" w:space="0" w:color="auto"/>
                <w:bottom w:val="none" w:sz="0" w:space="0" w:color="auto"/>
                <w:right w:val="none" w:sz="0" w:space="0" w:color="auto"/>
              </w:divBdr>
            </w:div>
          </w:divsChild>
        </w:div>
        <w:div w:id="1628245165">
          <w:marLeft w:val="0"/>
          <w:marRight w:val="0"/>
          <w:marTop w:val="0"/>
          <w:marBottom w:val="0"/>
          <w:divBdr>
            <w:top w:val="none" w:sz="0" w:space="0" w:color="auto"/>
            <w:left w:val="none" w:sz="0" w:space="0" w:color="auto"/>
            <w:bottom w:val="none" w:sz="0" w:space="0" w:color="auto"/>
            <w:right w:val="none" w:sz="0" w:space="0" w:color="auto"/>
          </w:divBdr>
          <w:divsChild>
            <w:div w:id="1091196259">
              <w:marLeft w:val="0"/>
              <w:marRight w:val="0"/>
              <w:marTop w:val="0"/>
              <w:marBottom w:val="0"/>
              <w:divBdr>
                <w:top w:val="none" w:sz="0" w:space="0" w:color="auto"/>
                <w:left w:val="none" w:sz="0" w:space="0" w:color="auto"/>
                <w:bottom w:val="none" w:sz="0" w:space="0" w:color="auto"/>
                <w:right w:val="none" w:sz="0" w:space="0" w:color="auto"/>
              </w:divBdr>
            </w:div>
          </w:divsChild>
        </w:div>
        <w:div w:id="1361515935">
          <w:marLeft w:val="0"/>
          <w:marRight w:val="0"/>
          <w:marTop w:val="0"/>
          <w:marBottom w:val="0"/>
          <w:divBdr>
            <w:top w:val="none" w:sz="0" w:space="0" w:color="auto"/>
            <w:left w:val="none" w:sz="0" w:space="0" w:color="auto"/>
            <w:bottom w:val="none" w:sz="0" w:space="0" w:color="auto"/>
            <w:right w:val="none" w:sz="0" w:space="0" w:color="auto"/>
          </w:divBdr>
          <w:divsChild>
            <w:div w:id="1139879337">
              <w:marLeft w:val="0"/>
              <w:marRight w:val="0"/>
              <w:marTop w:val="0"/>
              <w:marBottom w:val="0"/>
              <w:divBdr>
                <w:top w:val="none" w:sz="0" w:space="0" w:color="auto"/>
                <w:left w:val="none" w:sz="0" w:space="0" w:color="auto"/>
                <w:bottom w:val="none" w:sz="0" w:space="0" w:color="auto"/>
                <w:right w:val="none" w:sz="0" w:space="0" w:color="auto"/>
              </w:divBdr>
            </w:div>
          </w:divsChild>
        </w:div>
        <w:div w:id="1341928091">
          <w:marLeft w:val="0"/>
          <w:marRight w:val="0"/>
          <w:marTop w:val="0"/>
          <w:marBottom w:val="0"/>
          <w:divBdr>
            <w:top w:val="none" w:sz="0" w:space="0" w:color="auto"/>
            <w:left w:val="none" w:sz="0" w:space="0" w:color="auto"/>
            <w:bottom w:val="none" w:sz="0" w:space="0" w:color="auto"/>
            <w:right w:val="none" w:sz="0" w:space="0" w:color="auto"/>
          </w:divBdr>
          <w:divsChild>
            <w:div w:id="2082487345">
              <w:marLeft w:val="0"/>
              <w:marRight w:val="0"/>
              <w:marTop w:val="0"/>
              <w:marBottom w:val="0"/>
              <w:divBdr>
                <w:top w:val="none" w:sz="0" w:space="0" w:color="auto"/>
                <w:left w:val="none" w:sz="0" w:space="0" w:color="auto"/>
                <w:bottom w:val="none" w:sz="0" w:space="0" w:color="auto"/>
                <w:right w:val="none" w:sz="0" w:space="0" w:color="auto"/>
              </w:divBdr>
            </w:div>
          </w:divsChild>
        </w:div>
        <w:div w:id="1919434175">
          <w:marLeft w:val="0"/>
          <w:marRight w:val="0"/>
          <w:marTop w:val="0"/>
          <w:marBottom w:val="0"/>
          <w:divBdr>
            <w:top w:val="none" w:sz="0" w:space="0" w:color="auto"/>
            <w:left w:val="none" w:sz="0" w:space="0" w:color="auto"/>
            <w:bottom w:val="none" w:sz="0" w:space="0" w:color="auto"/>
            <w:right w:val="none" w:sz="0" w:space="0" w:color="auto"/>
          </w:divBdr>
        </w:div>
      </w:divsChild>
    </w:div>
    <w:div w:id="2015524472">
      <w:bodyDiv w:val="1"/>
      <w:marLeft w:val="0"/>
      <w:marRight w:val="0"/>
      <w:marTop w:val="0"/>
      <w:marBottom w:val="0"/>
      <w:divBdr>
        <w:top w:val="none" w:sz="0" w:space="0" w:color="auto"/>
        <w:left w:val="none" w:sz="0" w:space="0" w:color="auto"/>
        <w:bottom w:val="none" w:sz="0" w:space="0" w:color="auto"/>
        <w:right w:val="none" w:sz="0" w:space="0" w:color="auto"/>
      </w:divBdr>
      <w:divsChild>
        <w:div w:id="976446401">
          <w:marLeft w:val="0"/>
          <w:marRight w:val="0"/>
          <w:marTop w:val="0"/>
          <w:marBottom w:val="0"/>
          <w:divBdr>
            <w:top w:val="none" w:sz="0" w:space="0" w:color="auto"/>
            <w:left w:val="none" w:sz="0" w:space="0" w:color="auto"/>
            <w:bottom w:val="none" w:sz="0" w:space="0" w:color="auto"/>
            <w:right w:val="none" w:sz="0" w:space="0" w:color="auto"/>
          </w:divBdr>
          <w:divsChild>
            <w:div w:id="980698566">
              <w:marLeft w:val="0"/>
              <w:marRight w:val="0"/>
              <w:marTop w:val="0"/>
              <w:marBottom w:val="0"/>
              <w:divBdr>
                <w:top w:val="none" w:sz="0" w:space="0" w:color="auto"/>
                <w:left w:val="none" w:sz="0" w:space="0" w:color="auto"/>
                <w:bottom w:val="none" w:sz="0" w:space="0" w:color="auto"/>
                <w:right w:val="none" w:sz="0" w:space="0" w:color="auto"/>
              </w:divBdr>
            </w:div>
            <w:div w:id="1736704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g.state.fl.us/Statutes/index.cfm?App_mode=Display_Statute&amp;Search_String=&amp;URL=0100-0199/0100/Sections/0100.201.html" TargetMode="External"/><Relationship Id="rId13" Type="http://schemas.openxmlformats.org/officeDocument/2006/relationships/hyperlink" Target="http://www.leg.state.fl.us/Statutes/index.cfm?App_mode=Display_Statute&amp;Search_String=&amp;URL=0100-0199/0100/Sections/0100.351.html" TargetMode="External"/><Relationship Id="rId3" Type="http://schemas.openxmlformats.org/officeDocument/2006/relationships/settings" Target="settings.xml"/><Relationship Id="rId7" Type="http://schemas.openxmlformats.org/officeDocument/2006/relationships/hyperlink" Target="http://www.leg.state.fl.us/Statutes/index.cfm?App_mode=Display_Statute&amp;Search_String=&amp;URL=0100-0199/0100/Sections/0100.342.html" TargetMode="External"/><Relationship Id="rId12" Type="http://schemas.openxmlformats.org/officeDocument/2006/relationships/hyperlink" Target="http://www.leg.state.fl.us/Statutes/index.cfm?App_mode=Display_Statute&amp;Search_String=&amp;URL=0100-0199/0100/Sections/0100.201.htm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leg.state.fl.us/Statutes/index.cfm?App_mode=Display_Statute&amp;Search_String=&amp;URL=0100-0199/0100/Sections/0100.351.html"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leg.state.fl.us/Statutes/index.cfm?App_mode=Display_Statute&amp;Search_String=&amp;URL=0100-0199/0100/Sections/0100.201.html" TargetMode="External"/><Relationship Id="rId4" Type="http://schemas.openxmlformats.org/officeDocument/2006/relationships/webSettings" Target="webSettings.xml"/><Relationship Id="rId9" Type="http://schemas.openxmlformats.org/officeDocument/2006/relationships/hyperlink" Target="http://www.leg.state.fl.us/Statutes/index.cfm?App_mode=Display_Statute&amp;Search_String=&amp;URL=0100-0199/0100/Sections/0100.351.html"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8</Pages>
  <Words>3827</Words>
  <Characters>21814</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Schrader, Carly</dc:creator>
  <cp:keywords/>
  <dc:description/>
  <cp:lastModifiedBy>Schrader, Carly</cp:lastModifiedBy>
  <cp:revision>3</cp:revision>
  <dcterms:created xsi:type="dcterms:W3CDTF">2019-04-02T00:33:00Z</dcterms:created>
  <dcterms:modified xsi:type="dcterms:W3CDTF">2019-04-02T01:44:00Z</dcterms:modified>
</cp:coreProperties>
</file>